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5E" w:rsidRPr="00DE1566" w:rsidRDefault="00A979BF" w:rsidP="00A979BF">
      <w:pPr>
        <w:tabs>
          <w:tab w:val="center" w:pos="4535"/>
          <w:tab w:val="right" w:pos="9070"/>
        </w:tabs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00B56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ДОКУМЕНТАЦИЯ</w:t>
      </w: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6015E" w:rsidRPr="00291B66" w:rsidRDefault="0006015E" w:rsidP="00E74161">
      <w:pPr>
        <w:jc w:val="center"/>
      </w:pPr>
      <w:r w:rsidRPr="00291B66">
        <w:t>за обществена поръчка с предмет:</w:t>
      </w:r>
    </w:p>
    <w:p w:rsidR="002A1B65" w:rsidRPr="00965F4F" w:rsidRDefault="0006015E" w:rsidP="002A1B65">
      <w:pPr>
        <w:jc w:val="center"/>
        <w:rPr>
          <w:b/>
        </w:rPr>
      </w:pPr>
      <w:r w:rsidRPr="0067167B">
        <w:rPr>
          <w:b/>
        </w:rPr>
        <w:t>„</w:t>
      </w:r>
      <w:r w:rsidR="0067167B" w:rsidRPr="0067167B">
        <w:rPr>
          <w:b/>
        </w:rPr>
        <w:t>Изпълнение на строителство за обновяване на СОУ „Любен Каравелов“ в рамките на проект „Образователна инфраструктура - изграждане и обновяване на училища, детски градини и ясли в град Пловдив</w:t>
      </w:r>
      <w:r w:rsidRPr="0067167B">
        <w:rPr>
          <w:b/>
        </w:rPr>
        <w:t>“</w:t>
      </w:r>
      <w:r w:rsidR="00E74161">
        <w:rPr>
          <w:b/>
        </w:rPr>
        <w:t xml:space="preserve"> </w:t>
      </w:r>
    </w:p>
    <w:p w:rsidR="00E74161" w:rsidRPr="00965F4F" w:rsidRDefault="00E74161" w:rsidP="00965F4F">
      <w:pPr>
        <w:jc w:val="center"/>
        <w:rPr>
          <w:b/>
        </w:rPr>
      </w:pPr>
    </w:p>
    <w:p w:rsidR="003F5E82" w:rsidRPr="00A12722" w:rsidRDefault="003F5E82" w:rsidP="00E74161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  <w:rPr>
          <w:lang w:val="bg-BG"/>
          <w14:shadow w14:blurRad="0" w14:dist="0" w14:dir="0" w14:sx="0" w14:sy="0" w14:kx="0" w14:ky="0" w14:algn="none">
            <w14:srgbClr w14:val="000000"/>
          </w14:shadow>
        </w:rPr>
      </w:pPr>
      <w:r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>І. ОБЩИ УСЛОВИЯ</w:t>
      </w:r>
      <w:r w:rsidR="00075A01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 и административни изисквания</w:t>
      </w:r>
    </w:p>
    <w:p w:rsidR="00477772" w:rsidRPr="00A12722" w:rsidRDefault="00477772" w:rsidP="0026221C">
      <w:pPr>
        <w:pStyle w:val="2"/>
      </w:pPr>
      <w:r w:rsidRPr="00A12722">
        <w:t>1. Възлагащ орган и възложител:</w:t>
      </w:r>
    </w:p>
    <w:p w:rsidR="00EC63C9" w:rsidRPr="00A156B3" w:rsidRDefault="00EC63C9" w:rsidP="0026221C">
      <w:pPr>
        <w:spacing w:before="120" w:after="120"/>
        <w:ind w:firstLine="567"/>
        <w:jc w:val="both"/>
      </w:pPr>
      <w:r w:rsidRPr="00A156B3">
        <w:t xml:space="preserve">По смисъла на Закона за обществените поръчки (ЗОП), възлагащ орган на настоящата обществената поръчка е </w:t>
      </w:r>
      <w:r w:rsidRPr="00A156B3">
        <w:rPr>
          <w:b/>
        </w:rPr>
        <w:t>ОБЩИНА ПЛОВДИВ</w:t>
      </w:r>
      <w:r w:rsidRPr="00A156B3">
        <w:t>.</w:t>
      </w:r>
    </w:p>
    <w:p w:rsidR="00EC63C9" w:rsidRPr="00A156B3" w:rsidRDefault="00EC63C9" w:rsidP="0026221C">
      <w:pPr>
        <w:spacing w:before="120" w:after="120"/>
        <w:ind w:firstLine="567"/>
        <w:jc w:val="both"/>
      </w:pPr>
      <w:r w:rsidRPr="001D3F62">
        <w:t xml:space="preserve">Съгласно Заповед </w:t>
      </w:r>
      <w:r w:rsidRPr="001D3F62">
        <w:rPr>
          <w:u w:val="single"/>
        </w:rPr>
        <w:t>№1</w:t>
      </w:r>
      <w:r w:rsidR="001D3F62" w:rsidRPr="001D3F62">
        <w:rPr>
          <w:u w:val="single"/>
        </w:rPr>
        <w:t>8</w:t>
      </w:r>
      <w:r w:rsidRPr="001D3F62">
        <w:rPr>
          <w:u w:val="single"/>
        </w:rPr>
        <w:t>ОА</w:t>
      </w:r>
      <w:r w:rsidR="001D3F62" w:rsidRPr="001D3F62">
        <w:rPr>
          <w:u w:val="single"/>
        </w:rPr>
        <w:t>621</w:t>
      </w:r>
      <w:r w:rsidRPr="001D3F62">
        <w:rPr>
          <w:u w:val="single"/>
        </w:rPr>
        <w:t>/</w:t>
      </w:r>
      <w:r w:rsidRPr="001D3F62">
        <w:rPr>
          <w:u w:val="single"/>
          <w:lang w:val="en-US"/>
        </w:rPr>
        <w:t>0</w:t>
      </w:r>
      <w:r w:rsidR="001D3F62" w:rsidRPr="001D3F62">
        <w:rPr>
          <w:u w:val="single"/>
        </w:rPr>
        <w:t>2</w:t>
      </w:r>
      <w:r w:rsidRPr="001D3F62">
        <w:rPr>
          <w:u w:val="single"/>
        </w:rPr>
        <w:t>.0</w:t>
      </w:r>
      <w:r w:rsidR="001D3F62" w:rsidRPr="001D3F62">
        <w:rPr>
          <w:u w:val="single"/>
        </w:rPr>
        <w:t>4</w:t>
      </w:r>
      <w:r w:rsidRPr="001D3F62">
        <w:rPr>
          <w:u w:val="single"/>
        </w:rPr>
        <w:t>.201</w:t>
      </w:r>
      <w:r w:rsidR="001D3F62" w:rsidRPr="001D3F62">
        <w:rPr>
          <w:u w:val="single"/>
        </w:rPr>
        <w:t>8</w:t>
      </w:r>
      <w:r w:rsidRPr="001D3F62">
        <w:rPr>
          <w:u w:val="single"/>
        </w:rPr>
        <w:t>г.</w:t>
      </w:r>
      <w:r w:rsidRPr="001D3F62">
        <w:t xml:space="preserve"> на кмета на Община Пловдив, възложител на обществената поръчка е </w:t>
      </w:r>
      <w:r w:rsidR="001D3F62" w:rsidRPr="001D3F62">
        <w:rPr>
          <w:b/>
        </w:rPr>
        <w:t>ИНЖ. АЛЕКСАНДЪР МИЛКОВ ДЪРЖИКОВ</w:t>
      </w:r>
      <w:r w:rsidRPr="001D3F62">
        <w:t xml:space="preserve"> – </w:t>
      </w:r>
      <w:r w:rsidR="00702C5C" w:rsidRPr="001D3F62">
        <w:t>заместник-кмет „</w:t>
      </w:r>
      <w:r w:rsidR="001D3F62" w:rsidRPr="001D3F62">
        <w:t>Култура и туризъм</w:t>
      </w:r>
      <w:r w:rsidR="00702C5C" w:rsidRPr="001D3F62">
        <w:t>” в Община Пловдив</w:t>
      </w:r>
      <w:r w:rsidRPr="001D3F62">
        <w:t>.</w:t>
      </w:r>
    </w:p>
    <w:tbl>
      <w:tblPr>
        <w:tblStyle w:val="-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969"/>
      </w:tblGrid>
      <w:tr w:rsidR="00A12722" w:rsidRPr="00A12722" w:rsidTr="0081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:rsidR="00477772" w:rsidRPr="00A12722" w:rsidRDefault="00477772" w:rsidP="0026221C">
            <w:pPr>
              <w:jc w:val="right"/>
              <w:rPr>
                <w:rFonts w:ascii="Arial Narrow" w:hAnsi="Arial Narrow"/>
                <w:color w:val="auto"/>
                <w:sz w:val="20"/>
                <w:lang w:val="en-US"/>
              </w:rPr>
            </w:pPr>
            <w:r w:rsidRPr="00A12722">
              <w:rPr>
                <w:rFonts w:ascii="Arial Narrow" w:hAnsi="Arial Narrow"/>
                <w:color w:val="auto"/>
                <w:sz w:val="20"/>
              </w:rPr>
              <w:t>Административен адрес:</w:t>
            </w:r>
          </w:p>
        </w:tc>
        <w:tc>
          <w:tcPr>
            <w:tcW w:w="3969" w:type="dxa"/>
            <w:shd w:val="clear" w:color="auto" w:fill="auto"/>
          </w:tcPr>
          <w:p w:rsidR="00477772" w:rsidRPr="00A12722" w:rsidRDefault="00477772" w:rsidP="002622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lang w:val="en-US"/>
              </w:rPr>
            </w:pPr>
            <w:r w:rsidRPr="00A12722">
              <w:rPr>
                <w:rFonts w:ascii="Arial Narrow" w:hAnsi="Arial Narrow"/>
                <w:b w:val="0"/>
                <w:color w:val="auto"/>
                <w:sz w:val="20"/>
              </w:rPr>
              <w:t>гр. Пловдив</w:t>
            </w:r>
            <w:r w:rsidRPr="00A12722">
              <w:rPr>
                <w:rFonts w:ascii="Arial Narrow" w:hAnsi="Arial Narrow"/>
                <w:b w:val="0"/>
                <w:color w:val="auto"/>
                <w:sz w:val="20"/>
                <w:lang w:val="en-US"/>
              </w:rPr>
              <w:t xml:space="preserve"> 4000</w:t>
            </w:r>
            <w:r w:rsidRPr="00A12722">
              <w:rPr>
                <w:rFonts w:ascii="Arial Narrow" w:hAnsi="Arial Narrow"/>
                <w:b w:val="0"/>
                <w:color w:val="auto"/>
                <w:sz w:val="20"/>
              </w:rPr>
              <w:t>, пл. ”Стефан Стамболов” №</w:t>
            </w:r>
            <w:r w:rsidRPr="00A12722">
              <w:rPr>
                <w:rFonts w:ascii="Arial Narrow" w:hAnsi="Arial Narrow"/>
                <w:b w:val="0"/>
                <w:color w:val="auto"/>
                <w:sz w:val="20"/>
                <w:lang w:val="en-US"/>
              </w:rPr>
              <w:t xml:space="preserve"> </w:t>
            </w:r>
            <w:r w:rsidRPr="00A12722">
              <w:rPr>
                <w:rFonts w:ascii="Arial Narrow" w:hAnsi="Arial Narrow"/>
                <w:b w:val="0"/>
                <w:color w:val="auto"/>
                <w:sz w:val="20"/>
              </w:rPr>
              <w:t>1</w:t>
            </w:r>
          </w:p>
        </w:tc>
      </w:tr>
      <w:tr w:rsidR="00A12722" w:rsidRPr="00A12722" w:rsidTr="0081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:rsidR="00477772" w:rsidRPr="00A12722" w:rsidRDefault="00477772" w:rsidP="0026221C">
            <w:pPr>
              <w:jc w:val="right"/>
              <w:rPr>
                <w:rFonts w:ascii="Arial Narrow" w:hAnsi="Arial Narrow"/>
                <w:color w:val="auto"/>
                <w:sz w:val="20"/>
                <w:lang w:val="en-US"/>
              </w:rPr>
            </w:pPr>
            <w:r w:rsidRPr="00A12722">
              <w:rPr>
                <w:rFonts w:ascii="Arial Narrow" w:hAnsi="Arial Narrow"/>
                <w:color w:val="auto"/>
                <w:sz w:val="20"/>
              </w:rPr>
              <w:t>Интернет адрес:</w:t>
            </w:r>
          </w:p>
        </w:tc>
        <w:tc>
          <w:tcPr>
            <w:tcW w:w="3969" w:type="dxa"/>
            <w:shd w:val="clear" w:color="auto" w:fill="auto"/>
          </w:tcPr>
          <w:p w:rsidR="00477772" w:rsidRPr="00A12722" w:rsidRDefault="00450B0C" w:rsidP="002622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lang w:val="en-US"/>
              </w:rPr>
            </w:pPr>
            <w:hyperlink r:id="rId8" w:history="1">
              <w:r w:rsidR="00477772" w:rsidRPr="00A12722">
                <w:rPr>
                  <w:rStyle w:val="af4"/>
                  <w:rFonts w:ascii="Arial Narrow" w:hAnsi="Arial Narrow"/>
                  <w:color w:val="auto"/>
                  <w:sz w:val="20"/>
                  <w:lang w:val="en-US"/>
                </w:rPr>
                <w:t>http://www</w:t>
              </w:r>
              <w:r w:rsidR="00477772" w:rsidRPr="00A12722">
                <w:rPr>
                  <w:rStyle w:val="af4"/>
                  <w:rFonts w:ascii="Arial Narrow" w:hAnsi="Arial Narrow"/>
                  <w:color w:val="auto"/>
                  <w:sz w:val="20"/>
                </w:rPr>
                <w:t>.plovdiv.bg</w:t>
              </w:r>
            </w:hyperlink>
          </w:p>
        </w:tc>
      </w:tr>
      <w:tr w:rsidR="00A12722" w:rsidRPr="00A12722" w:rsidTr="00DF4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969696" w:themeColor="accent3"/>
            </w:tcBorders>
            <w:shd w:val="clear" w:color="auto" w:fill="auto"/>
          </w:tcPr>
          <w:p w:rsidR="00477772" w:rsidRPr="00A12722" w:rsidRDefault="00477772" w:rsidP="0026221C">
            <w:pPr>
              <w:jc w:val="right"/>
              <w:rPr>
                <w:rFonts w:ascii="Arial Narrow" w:hAnsi="Arial Narrow"/>
                <w:color w:val="auto"/>
                <w:sz w:val="20"/>
                <w:lang w:val="en-US"/>
              </w:rPr>
            </w:pPr>
            <w:r w:rsidRPr="00A12722">
              <w:rPr>
                <w:rFonts w:ascii="Arial Narrow" w:hAnsi="Arial Narrow"/>
                <w:color w:val="auto"/>
                <w:sz w:val="20"/>
              </w:rPr>
              <w:t>Профил на купувача:</w:t>
            </w:r>
          </w:p>
        </w:tc>
        <w:tc>
          <w:tcPr>
            <w:tcW w:w="3969" w:type="dxa"/>
            <w:tcBorders>
              <w:bottom w:val="single" w:sz="8" w:space="0" w:color="969696" w:themeColor="accent3"/>
            </w:tcBorders>
            <w:shd w:val="clear" w:color="auto" w:fill="auto"/>
          </w:tcPr>
          <w:p w:rsidR="00477772" w:rsidRPr="00DF4FA0" w:rsidRDefault="00450B0C" w:rsidP="002622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lang w:val="en-US"/>
              </w:rPr>
            </w:pPr>
            <w:hyperlink r:id="rId9" w:history="1">
              <w:r w:rsidR="00477772" w:rsidRPr="00DF4FA0">
                <w:rPr>
                  <w:rStyle w:val="af4"/>
                  <w:rFonts w:ascii="Arial Narrow" w:hAnsi="Arial Narrow"/>
                  <w:color w:val="auto"/>
                  <w:sz w:val="20"/>
                </w:rPr>
                <w:t>http://op.plovdiv.bg</w:t>
              </w:r>
            </w:hyperlink>
            <w:r w:rsidR="00477772" w:rsidRPr="00DF4FA0">
              <w:rPr>
                <w:rFonts w:ascii="Arial Narrow" w:hAnsi="Arial Narrow"/>
                <w:color w:val="auto"/>
                <w:sz w:val="20"/>
                <w:lang w:val="en-US"/>
              </w:rPr>
              <w:t xml:space="preserve"> </w:t>
            </w:r>
          </w:p>
        </w:tc>
      </w:tr>
      <w:tr w:rsidR="00DF4FA0" w:rsidRPr="00A12722" w:rsidTr="00DF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969696" w:themeColor="accent3"/>
              <w:bottom w:val="single" w:sz="8" w:space="0" w:color="969696" w:themeColor="accent3"/>
            </w:tcBorders>
            <w:shd w:val="clear" w:color="auto" w:fill="auto"/>
          </w:tcPr>
          <w:p w:rsidR="00DF4FA0" w:rsidRPr="00A12722" w:rsidRDefault="00DF4FA0" w:rsidP="005C2CBD">
            <w:pPr>
              <w:jc w:val="right"/>
              <w:rPr>
                <w:rFonts w:ascii="Arial Narrow" w:hAnsi="Arial Narrow"/>
                <w:color w:val="auto"/>
                <w:sz w:val="20"/>
                <w:lang w:val="en-US"/>
              </w:rPr>
            </w:pPr>
            <w:r>
              <w:rPr>
                <w:rFonts w:ascii="Arial Narrow" w:hAnsi="Arial Narrow"/>
                <w:color w:val="auto"/>
                <w:sz w:val="20"/>
              </w:rPr>
              <w:t>Ел. адреси за кореспонденция</w:t>
            </w:r>
            <w:r w:rsidRPr="00A12722">
              <w:rPr>
                <w:rFonts w:ascii="Arial Narrow" w:hAnsi="Arial Narrow"/>
                <w:color w:val="auto"/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8" w:space="0" w:color="969696" w:themeColor="accent3"/>
              <w:bottom w:val="single" w:sz="8" w:space="0" w:color="969696" w:themeColor="accent3"/>
            </w:tcBorders>
            <w:shd w:val="clear" w:color="auto" w:fill="auto"/>
          </w:tcPr>
          <w:p w:rsidR="00DF4FA0" w:rsidRPr="00DF4FA0" w:rsidRDefault="00450B0C" w:rsidP="005C2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lang w:val="en-US"/>
              </w:rPr>
            </w:pPr>
            <w:hyperlink r:id="rId10" w:history="1">
              <w:r w:rsidR="00DF4FA0" w:rsidRPr="00DF4FA0">
                <w:rPr>
                  <w:rStyle w:val="af4"/>
                  <w:rFonts w:ascii="Arial Narrow" w:hAnsi="Arial Narrow"/>
                  <w:color w:val="auto"/>
                  <w:sz w:val="20"/>
                  <w:lang w:val="en-US"/>
                </w:rPr>
                <w:t>zop@plovdiv.bg</w:t>
              </w:r>
            </w:hyperlink>
            <w:r w:rsidR="00DF4FA0">
              <w:rPr>
                <w:rFonts w:ascii="Arial Narrow" w:hAnsi="Arial Narrow"/>
                <w:color w:val="auto"/>
                <w:sz w:val="20"/>
                <w:lang w:val="en-US"/>
              </w:rPr>
              <w:t xml:space="preserve"> </w:t>
            </w:r>
          </w:p>
          <w:p w:rsidR="00DF4FA0" w:rsidRPr="00DF4FA0" w:rsidRDefault="00450B0C" w:rsidP="005C2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lang w:val="en-US"/>
              </w:rPr>
            </w:pPr>
            <w:hyperlink r:id="rId11" w:history="1">
              <w:r w:rsidR="00DF4FA0" w:rsidRPr="00DF4FA0">
                <w:rPr>
                  <w:rStyle w:val="af4"/>
                  <w:rFonts w:ascii="Arial Narrow" w:hAnsi="Arial Narrow"/>
                  <w:color w:val="auto"/>
                  <w:sz w:val="20"/>
                  <w:lang w:val="en-US"/>
                </w:rPr>
                <w:t>todor_todorov@plovdiv.bg</w:t>
              </w:r>
            </w:hyperlink>
            <w:r w:rsidR="00DF4FA0" w:rsidRPr="00DF4FA0">
              <w:rPr>
                <w:rFonts w:ascii="Arial Narrow" w:hAnsi="Arial Narrow"/>
                <w:color w:val="auto"/>
                <w:sz w:val="20"/>
                <w:lang w:val="en-US"/>
              </w:rPr>
              <w:t xml:space="preserve"> </w:t>
            </w:r>
          </w:p>
        </w:tc>
      </w:tr>
    </w:tbl>
    <w:p w:rsidR="003F5E82" w:rsidRPr="00A12722" w:rsidRDefault="003F5E82" w:rsidP="0026221C">
      <w:pPr>
        <w:pStyle w:val="2"/>
      </w:pPr>
      <w:r w:rsidRPr="00A12722">
        <w:t xml:space="preserve">2. Правно основание за </w:t>
      </w:r>
      <w:r w:rsidR="001B3E7E" w:rsidRPr="00A12722">
        <w:t>прилагане</w:t>
      </w:r>
      <w:r w:rsidRPr="00A12722">
        <w:t xml:space="preserve"> на процедурата:</w:t>
      </w:r>
    </w:p>
    <w:p w:rsidR="00FD2472" w:rsidRDefault="004E0A49" w:rsidP="00FD2472">
      <w:pPr>
        <w:spacing w:before="120" w:after="120"/>
        <w:ind w:firstLine="567"/>
        <w:jc w:val="both"/>
      </w:pPr>
      <w:r w:rsidRPr="00991E64">
        <w:t xml:space="preserve">Възложителят прилага процедурата за възлагане на настоящата обществена поръчка на основание чл. </w:t>
      </w:r>
      <w:r w:rsidR="00CE4EE4">
        <w:t>73</w:t>
      </w:r>
      <w:r w:rsidRPr="00991E64">
        <w:t>, ал. 1</w:t>
      </w:r>
      <w:r w:rsidR="00FD2472">
        <w:t xml:space="preserve">, т. </w:t>
      </w:r>
      <w:r w:rsidR="00CE4EE4">
        <w:t>1</w:t>
      </w:r>
      <w:r w:rsidRPr="00991E64">
        <w:t xml:space="preserve"> от ЗОП като провежда </w:t>
      </w:r>
      <w:r w:rsidR="00CE4EE4">
        <w:t>открита процедура по чл. 18, ал. 1, т. 1 от ЗОП.</w:t>
      </w:r>
    </w:p>
    <w:p w:rsidR="00AD7CBC" w:rsidRPr="00C32D2D" w:rsidRDefault="00AD7CBC" w:rsidP="0026221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rFonts w:eastAsia="Arial"/>
          <w:b/>
          <w:noProof/>
          <w:lang w:eastAsia="ar-SA"/>
        </w:rPr>
      </w:pPr>
      <w:r w:rsidRPr="00C32D2D">
        <w:rPr>
          <w:rFonts w:eastAsia="Arial"/>
          <w:b/>
          <w:noProof/>
          <w:lang w:eastAsia="ar-SA"/>
        </w:rPr>
        <w:t xml:space="preserve">3. Административни изисквания и основания за отстраняване от участие: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C32D2D">
        <w:rPr>
          <w:rFonts w:eastAsia="Arial"/>
          <w:b/>
          <w:noProof/>
          <w:lang w:eastAsia="ar-SA"/>
        </w:rPr>
        <w:t>3.1. Административни изисквания за участие в процедурата:</w:t>
      </w:r>
      <w:r w:rsidRPr="00C32D2D">
        <w:rPr>
          <w:rFonts w:eastAsia="Arial"/>
          <w:noProof/>
          <w:lang w:eastAsia="ar-SA"/>
        </w:rPr>
        <w:t xml:space="preserve">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C32D2D">
        <w:rPr>
          <w:rFonts w:eastAsia="Arial"/>
          <w:b/>
          <w:noProof/>
          <w:lang w:eastAsia="ar-SA"/>
        </w:rPr>
        <w:t>3.1.1.</w:t>
      </w:r>
      <w:r w:rsidRPr="00C32D2D">
        <w:rPr>
          <w:rFonts w:eastAsia="Arial"/>
          <w:noProof/>
          <w:lang w:eastAsia="ar-SA"/>
        </w:rPr>
        <w:t xml:space="preserve"> Участник в настоящата процедура може да бъде всяко българско или чуждестранно физическо или юридическо лице, техни обединения и всички други образувания, които отговарят на условията, посочени в Закона за обществените поръчки (ЗОП), Правилника за прилагането на закона за обществените поръчки (ППЗОП)  и предварително обявените от възложителя условия.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C32D2D">
        <w:rPr>
          <w:rFonts w:eastAsia="Arial"/>
          <w:b/>
          <w:noProof/>
          <w:lang w:eastAsia="ar-SA"/>
        </w:rPr>
        <w:t>3.1.2</w:t>
      </w:r>
      <w:r w:rsidRPr="00C32D2D">
        <w:rPr>
          <w:rFonts w:eastAsia="Arial"/>
          <w:noProof/>
          <w:lang w:eastAsia="ar-SA"/>
        </w:rPr>
        <w:t xml:space="preserve"> Всеки участник в процедурата има право да представи само една оферта. Лице, което участва в обединение или е дало съгласие и фигурира като подизпълнител в офертата на друг участник, не може да подава самостоятелна оферта.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C32D2D">
        <w:rPr>
          <w:rFonts w:eastAsia="Arial"/>
          <w:b/>
          <w:noProof/>
          <w:lang w:eastAsia="ar-SA"/>
        </w:rPr>
        <w:t>3.1.3.</w:t>
      </w:r>
      <w:r w:rsidRPr="00C32D2D">
        <w:rPr>
          <w:rFonts w:eastAsia="Arial"/>
          <w:noProof/>
          <w:lang w:eastAsia="ar-SA"/>
        </w:rPr>
        <w:t xml:space="preserve"> Едно физическо или юридическо лице може да участва само в едно обединение.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iCs/>
        </w:rPr>
      </w:pPr>
      <w:r w:rsidRPr="00C32D2D">
        <w:rPr>
          <w:rFonts w:eastAsia="Arial"/>
          <w:b/>
          <w:noProof/>
          <w:lang w:eastAsia="ar-SA"/>
        </w:rPr>
        <w:t>3.1.4.</w:t>
      </w:r>
      <w:r w:rsidRPr="00C32D2D">
        <w:rPr>
          <w:rFonts w:eastAsia="Arial"/>
          <w:noProof/>
          <w:lang w:eastAsia="ar-SA"/>
        </w:rPr>
        <w:t xml:space="preserve"> </w:t>
      </w:r>
      <w:r w:rsidRPr="00C32D2D">
        <w:rPr>
          <w:bCs/>
          <w:iCs/>
        </w:rPr>
        <w:t xml:space="preserve">Свързани лица по смисъла на § 2, т. 45 от ДР на ЗОП, не могат да бъдат самостоятелни участници в процедурата. </w:t>
      </w:r>
    </w:p>
    <w:p w:rsidR="00AD7CBC" w:rsidRPr="00C32D2D" w:rsidRDefault="00AD7CBC" w:rsidP="0026221C">
      <w:pPr>
        <w:tabs>
          <w:tab w:val="left" w:pos="-142"/>
          <w:tab w:val="left" w:pos="851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C32D2D">
        <w:rPr>
          <w:b/>
          <w:bCs/>
          <w:iCs/>
        </w:rPr>
        <w:t>3.1.5.</w:t>
      </w:r>
      <w:r w:rsidRPr="00C32D2D">
        <w:rPr>
          <w:bCs/>
          <w:iCs/>
        </w:rPr>
        <w:t xml:space="preserve"> </w:t>
      </w:r>
      <w:r w:rsidRPr="00C32D2D">
        <w:rPr>
          <w:rFonts w:eastAsia="Arial"/>
          <w:noProof/>
          <w:lang w:eastAsia="ar-SA"/>
        </w:rPr>
        <w:t xml:space="preserve">Клон на чуждестранно лице може да е самостоятелен участник в процедурата, ако може самостоятелно да подава оферти и да сключва договори съгласно законодателството на държавата, в която е установен. В тези случаи, ако за доказване на съответствие с изискванията за </w:t>
      </w:r>
      <w:r w:rsidR="00AE37B8" w:rsidRPr="00AE37B8">
        <w:rPr>
          <w:rFonts w:eastAsia="Arial"/>
          <w:bCs/>
          <w:iCs/>
          <w:noProof/>
          <w:lang w:eastAsia="ar-SA"/>
        </w:rPr>
        <w:t>икономическо и финансово състояние</w:t>
      </w:r>
      <w:r w:rsidR="00AE37B8">
        <w:rPr>
          <w:rFonts w:eastAsia="Arial"/>
          <w:bCs/>
          <w:iCs/>
          <w:noProof/>
          <w:lang w:eastAsia="ar-SA"/>
        </w:rPr>
        <w:t xml:space="preserve"> и за</w:t>
      </w:r>
      <w:r w:rsidR="00AE37B8" w:rsidRPr="00AE37B8">
        <w:rPr>
          <w:rFonts w:eastAsia="Arial"/>
          <w:noProof/>
          <w:lang w:eastAsia="ar-SA"/>
        </w:rPr>
        <w:t xml:space="preserve"> </w:t>
      </w:r>
      <w:r w:rsidRPr="00C32D2D">
        <w:rPr>
          <w:rFonts w:eastAsia="Arial"/>
          <w:noProof/>
          <w:lang w:eastAsia="ar-SA"/>
        </w:rPr>
        <w:t xml:space="preserve">технически и </w:t>
      </w:r>
      <w:r w:rsidRPr="00C32D2D">
        <w:rPr>
          <w:rFonts w:eastAsia="Arial"/>
          <w:noProof/>
          <w:lang w:eastAsia="ar-SA"/>
        </w:rPr>
        <w:lastRenderedPageBreak/>
        <w:t>професионални способности клонът се позовава на ресурсите на търговеца, клонът представя доказателства, че при изпълнение на поръчката ще има на разположение тези ресурси.</w:t>
      </w:r>
    </w:p>
    <w:p w:rsidR="00AD7CBC" w:rsidRPr="00C32D2D" w:rsidRDefault="00AD7CBC" w:rsidP="0026221C">
      <w:pPr>
        <w:spacing w:before="120" w:after="120"/>
        <w:ind w:firstLine="567"/>
        <w:jc w:val="both"/>
        <w:rPr>
          <w:b/>
          <w:bCs/>
          <w:iCs/>
        </w:rPr>
      </w:pPr>
      <w:r w:rsidRPr="00C32D2D">
        <w:rPr>
          <w:b/>
          <w:bCs/>
          <w:iCs/>
        </w:rPr>
        <w:t xml:space="preserve">3.2. Основания за отстраняване, свързани с личното състояние на участниците: </w:t>
      </w:r>
    </w:p>
    <w:p w:rsidR="00AD7CBC" w:rsidRPr="00C32D2D" w:rsidRDefault="00AD7CBC" w:rsidP="0026221C">
      <w:pPr>
        <w:spacing w:before="120" w:after="120"/>
        <w:ind w:firstLine="567"/>
        <w:jc w:val="both"/>
      </w:pPr>
      <w:r w:rsidRPr="005C7E7C">
        <w:rPr>
          <w:b/>
          <w:bCs/>
          <w:iCs/>
        </w:rPr>
        <w:t>3.2.1.</w:t>
      </w:r>
      <w:r w:rsidRPr="005C7E7C">
        <w:rPr>
          <w:bCs/>
          <w:iCs/>
        </w:rPr>
        <w:t xml:space="preserve"> От процедурата ще бъде отстранен всеки участник</w:t>
      </w:r>
      <w:r w:rsidRPr="005C7E7C">
        <w:t xml:space="preserve">, за когото са налице основанията за отстраняване, свързани с личното състояние на участниците, </w:t>
      </w:r>
      <w:r w:rsidRPr="005C7E7C">
        <w:rPr>
          <w:b/>
        </w:rPr>
        <w:t>по чл. 54, ал. 1  и чл. 55, ал. 1, т. 1 и т. 3 – 5 от ЗОП</w:t>
      </w:r>
      <w:r w:rsidRPr="005C7E7C">
        <w:t>, възникнали преди или по време на процедурата.</w:t>
      </w:r>
      <w:r w:rsidR="005873E0" w:rsidRPr="005873E0">
        <w:rPr>
          <w:rFonts w:ascii="Arial" w:hAnsi="Arial" w:cs="Arial"/>
          <w:color w:val="000000"/>
        </w:rPr>
        <w:t xml:space="preserve"> </w:t>
      </w:r>
      <w:r w:rsidR="005873E0" w:rsidRPr="005873E0">
        <w:t>Част от обстоятелствата по чл. 54, ал. 1, т. 1 и т. 6 от ЗОП представляват специфични национални основание за изключване.</w:t>
      </w:r>
    </w:p>
    <w:p w:rsidR="00AD7CBC" w:rsidRPr="00C32D2D" w:rsidRDefault="00AD7CBC" w:rsidP="0026221C">
      <w:pPr>
        <w:spacing w:before="120" w:after="120"/>
        <w:ind w:firstLine="567"/>
        <w:jc w:val="both"/>
      </w:pPr>
      <w:r w:rsidRPr="00C32D2D">
        <w:rPr>
          <w:b/>
        </w:rPr>
        <w:t xml:space="preserve">3.2.2. </w:t>
      </w:r>
      <w:r w:rsidRPr="00C32D2D">
        <w:t>Основанията за отстраняване по чл. 54, ал. 1 от ЗОП се прилагат съобразно чл. 54, ал. 2 и ал. 3 и чл. 57 от ЗОП.</w:t>
      </w:r>
    </w:p>
    <w:p w:rsidR="00AD7CBC" w:rsidRPr="00C32D2D" w:rsidRDefault="00AD7CBC" w:rsidP="0026221C">
      <w:pPr>
        <w:spacing w:before="120" w:after="120"/>
        <w:ind w:firstLine="567"/>
        <w:jc w:val="both"/>
      </w:pPr>
      <w:r w:rsidRPr="00C32D2D">
        <w:rPr>
          <w:b/>
        </w:rPr>
        <w:t xml:space="preserve">3.2.3 </w:t>
      </w:r>
      <w:r w:rsidRPr="00C32D2D">
        <w:t xml:space="preserve">Основанията за отстраняване по чл. 55, ал. 1, т.  1 и т. 3 – 5 от ЗОП се прилагат съобразно чл. 55, ал. 2 и чл. 57 от ЗОП като възложителят </w:t>
      </w:r>
      <w:r>
        <w:t>няма да прилага</w:t>
      </w:r>
      <w:r w:rsidRPr="00C32D2D">
        <w:t xml:space="preserve"> възможността по чл. 55, ал. 4 от ЗОП.</w:t>
      </w:r>
    </w:p>
    <w:p w:rsidR="00AD7CBC" w:rsidRDefault="00AD7CBC" w:rsidP="0026221C">
      <w:pPr>
        <w:spacing w:before="120" w:after="120"/>
        <w:ind w:firstLine="567"/>
        <w:jc w:val="both"/>
        <w:rPr>
          <w:bCs/>
          <w:iCs/>
        </w:rPr>
      </w:pPr>
      <w:r w:rsidRPr="00C32D2D">
        <w:rPr>
          <w:b/>
        </w:rPr>
        <w:t>3.2.4.</w:t>
      </w:r>
      <w:r w:rsidRPr="00C32D2D">
        <w:t xml:space="preserve"> </w:t>
      </w:r>
      <w:r w:rsidR="00526C68" w:rsidRPr="00526C68">
        <w:t>Основанията за отстраняване, свързани с личното състояние се прилагат за всеки икономически оператор – участник, член на обединение, трето лице и/или подизпълнител</w:t>
      </w:r>
      <w:r w:rsidRPr="00C32D2D">
        <w:rPr>
          <w:bCs/>
          <w:iCs/>
        </w:rPr>
        <w:t xml:space="preserve">. </w:t>
      </w:r>
    </w:p>
    <w:p w:rsidR="00F838F8" w:rsidRPr="00C32D2D" w:rsidRDefault="00F838F8" w:rsidP="00F838F8">
      <w:pPr>
        <w:spacing w:before="120" w:after="120"/>
        <w:ind w:firstLine="567"/>
        <w:jc w:val="both"/>
        <w:rPr>
          <w:bCs/>
          <w:iCs/>
        </w:rPr>
      </w:pPr>
      <w:r w:rsidRPr="00C32D2D">
        <w:rPr>
          <w:b/>
          <w:bCs/>
          <w:iCs/>
        </w:rPr>
        <w:t>3.</w:t>
      </w:r>
      <w:r>
        <w:rPr>
          <w:b/>
          <w:bCs/>
          <w:iCs/>
        </w:rPr>
        <w:t>2</w:t>
      </w:r>
      <w:r w:rsidRPr="00C32D2D">
        <w:rPr>
          <w:b/>
          <w:bCs/>
          <w:iCs/>
        </w:rPr>
        <w:t>.</w:t>
      </w:r>
      <w:r>
        <w:rPr>
          <w:b/>
          <w:bCs/>
          <w:iCs/>
        </w:rPr>
        <w:t>5.</w:t>
      </w:r>
      <w:r w:rsidRPr="00C32D2D">
        <w:rPr>
          <w:b/>
          <w:bCs/>
          <w:iCs/>
        </w:rPr>
        <w:t xml:space="preserve"> </w:t>
      </w:r>
      <w:r w:rsidRPr="00C32D2D">
        <w:rPr>
          <w:bCs/>
          <w:iCs/>
        </w:rPr>
        <w:t xml:space="preserve">Съгласно чл. 46 от ППЗОП участниците са длъжни да уведомяват писмено възложителя в 3-дневен срок от настъпване на някое от обстоятелствата по чл. 54, ал. 1, </w:t>
      </w:r>
      <w:r w:rsidRPr="00C32D2D">
        <w:t>чл. 55, ал. 1, т.</w:t>
      </w:r>
      <w:r w:rsidR="00F020CB">
        <w:t xml:space="preserve"> </w:t>
      </w:r>
      <w:r w:rsidRPr="00C32D2D">
        <w:t>1 и т. 3 – 5 от ЗОП</w:t>
      </w:r>
      <w:r w:rsidRPr="00C32D2D">
        <w:rPr>
          <w:bCs/>
          <w:iCs/>
        </w:rPr>
        <w:t xml:space="preserve"> и чл. 101, ал. 11 от ЗОП.</w:t>
      </w:r>
    </w:p>
    <w:p w:rsidR="00AD7CBC" w:rsidRPr="00C32D2D" w:rsidRDefault="00AD7CBC" w:rsidP="0026221C">
      <w:pPr>
        <w:spacing w:before="120" w:after="120"/>
        <w:ind w:firstLine="567"/>
        <w:jc w:val="both"/>
        <w:rPr>
          <w:b/>
          <w:bCs/>
          <w:iCs/>
        </w:rPr>
      </w:pPr>
      <w:r w:rsidRPr="00C32D2D">
        <w:rPr>
          <w:b/>
          <w:bCs/>
          <w:iCs/>
        </w:rPr>
        <w:t xml:space="preserve">3.3. </w:t>
      </w:r>
      <w:r w:rsidR="0067167B">
        <w:rPr>
          <w:b/>
          <w:bCs/>
          <w:iCs/>
        </w:rPr>
        <w:t>Д</w:t>
      </w:r>
      <w:r w:rsidRPr="00C32D2D">
        <w:rPr>
          <w:b/>
          <w:bCs/>
          <w:iCs/>
        </w:rPr>
        <w:t>руги основания за отстраняване:</w:t>
      </w:r>
    </w:p>
    <w:p w:rsidR="004E0A49" w:rsidRDefault="00AD7CBC" w:rsidP="0026221C">
      <w:pPr>
        <w:spacing w:before="120" w:after="120"/>
        <w:ind w:firstLine="567"/>
        <w:jc w:val="both"/>
      </w:pPr>
      <w:r w:rsidRPr="008A56B3">
        <w:rPr>
          <w:b/>
        </w:rPr>
        <w:t>3.3.</w:t>
      </w:r>
      <w:r w:rsidR="007C0BE1">
        <w:rPr>
          <w:b/>
        </w:rPr>
        <w:t>1</w:t>
      </w:r>
      <w:r w:rsidRPr="008A56B3">
        <w:rPr>
          <w:b/>
        </w:rPr>
        <w:t>.</w:t>
      </w:r>
      <w:r>
        <w:t xml:space="preserve"> </w:t>
      </w:r>
      <w:r w:rsidRPr="00C32D2D">
        <w:t>От процедурата ще бъде отстранен всеки участник, за когото се установи наличие на едно или повече от обстоятелствата по чл. 107 от ЗОП.</w:t>
      </w:r>
      <w:r w:rsidR="005873E0" w:rsidRPr="005873E0">
        <w:rPr>
          <w:rFonts w:ascii="Arial" w:hAnsi="Arial" w:cs="Arial"/>
          <w:color w:val="000000"/>
        </w:rPr>
        <w:t xml:space="preserve"> </w:t>
      </w:r>
      <w:r w:rsidR="005873E0" w:rsidRPr="005873E0">
        <w:t>Обстоятелството по чл. 107, т. 4 от ЗОП представлява специфично национално основание за изключване.</w:t>
      </w:r>
    </w:p>
    <w:p w:rsidR="006C5553" w:rsidRDefault="004E0A49" w:rsidP="0026221C">
      <w:pPr>
        <w:spacing w:before="120" w:after="120"/>
        <w:ind w:firstLine="567"/>
        <w:jc w:val="both"/>
      </w:pPr>
      <w:r w:rsidRPr="004E0A49">
        <w:rPr>
          <w:b/>
        </w:rPr>
        <w:t>3.3.</w:t>
      </w:r>
      <w:r w:rsidR="007C0BE1">
        <w:rPr>
          <w:b/>
        </w:rPr>
        <w:t>2</w:t>
      </w:r>
      <w:r w:rsidRPr="004E0A49">
        <w:rPr>
          <w:b/>
        </w:rPr>
        <w:t>.</w:t>
      </w:r>
      <w:r>
        <w:t xml:space="preserve"> </w:t>
      </w:r>
      <w:r w:rsidRPr="00C32D2D">
        <w:t xml:space="preserve">От процедурата ще бъде отстранен всеки участник, </w:t>
      </w:r>
      <w:r>
        <w:t xml:space="preserve">който при поискване от страна на възложителя, не потвърди и не удължи срокът на валидност на офертата си, когато този срок е изтекъл преди издаването на окончателно решение по процедурата.     </w:t>
      </w:r>
    </w:p>
    <w:p w:rsidR="006A0A09" w:rsidRPr="006A0A09" w:rsidRDefault="006A0A09" w:rsidP="0026221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outlineLvl w:val="1"/>
      </w:pPr>
      <w:r w:rsidRPr="001D3F62">
        <w:rPr>
          <w:b/>
        </w:rPr>
        <w:t>3.3.</w:t>
      </w:r>
      <w:r w:rsidR="007C0BE1" w:rsidRPr="001D3F62">
        <w:rPr>
          <w:b/>
        </w:rPr>
        <w:t>3</w:t>
      </w:r>
      <w:r w:rsidRPr="001D3F62">
        <w:rPr>
          <w:b/>
        </w:rPr>
        <w:t>.</w:t>
      </w:r>
      <w:r w:rsidRPr="001D3F62">
        <w:t xml:space="preserve"> Няма право да участва или да представлява физическо или юридическо лице</w:t>
      </w:r>
      <w:r w:rsidRPr="006A0A09">
        <w:t xml:space="preserve"> в процедурата, лице за което са налице обстоятелствата по чл. 69 от Закона за противодействие на корупцията и за отнемане на незаконно п</w:t>
      </w:r>
      <w:r w:rsidR="005873E0">
        <w:t xml:space="preserve">ридобитото имущество (ЗПКОНПИ). </w:t>
      </w:r>
      <w:r w:rsidR="005873E0" w:rsidRPr="005873E0">
        <w:t>Обстоятелството представлява специфично национално основание за изключване.</w:t>
      </w:r>
    </w:p>
    <w:p w:rsidR="006A0A09" w:rsidRDefault="006A0A09" w:rsidP="0026221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outlineLvl w:val="1"/>
      </w:pPr>
      <w:r w:rsidRPr="006A0A09">
        <w:rPr>
          <w:b/>
        </w:rPr>
        <w:t>3.3.</w:t>
      </w:r>
      <w:r w:rsidR="007C0BE1">
        <w:rPr>
          <w:b/>
        </w:rPr>
        <w:t>4</w:t>
      </w:r>
      <w:r w:rsidR="00005CFB">
        <w:rPr>
          <w:b/>
        </w:rPr>
        <w:t>.</w:t>
      </w:r>
      <w:r w:rsidRPr="006A0A09">
        <w:t xml:space="preserve"> Нямат право да участват в процедурата дружествата, регистрирани в юрисдикции с преференциален данъчен режим, както и лицата, контролирани от такива дружества по смисъла на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  <w:r w:rsidR="005873E0" w:rsidRPr="005873E0">
        <w:rPr>
          <w:rFonts w:ascii="Arial" w:hAnsi="Arial" w:cs="Arial"/>
          <w:color w:val="000000"/>
        </w:rPr>
        <w:t xml:space="preserve"> </w:t>
      </w:r>
      <w:r w:rsidR="005873E0" w:rsidRPr="005873E0">
        <w:t>Обстоятелството представлява специфично национално основание за изключване.</w:t>
      </w:r>
    </w:p>
    <w:p w:rsidR="00AD7CBC" w:rsidRPr="00C32D2D" w:rsidRDefault="006A0A09" w:rsidP="0026221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</w:rPr>
      </w:pPr>
      <w:r>
        <w:rPr>
          <w:b/>
        </w:rPr>
        <w:t>3.4</w:t>
      </w:r>
      <w:r w:rsidR="00AD7CBC" w:rsidRPr="00C32D2D">
        <w:rPr>
          <w:b/>
        </w:rPr>
        <w:t>. Мерки за доказване на надеждност:</w:t>
      </w:r>
    </w:p>
    <w:p w:rsidR="00AD7CBC" w:rsidRPr="00C32D2D" w:rsidRDefault="00AD7CBC" w:rsidP="0026221C">
      <w:pPr>
        <w:spacing w:before="120" w:after="120"/>
        <w:ind w:firstLine="567"/>
        <w:jc w:val="both"/>
        <w:rPr>
          <w:bCs/>
          <w:iCs/>
        </w:rPr>
      </w:pPr>
      <w:r w:rsidRPr="00C32D2D">
        <w:rPr>
          <w:bCs/>
          <w:iCs/>
        </w:rPr>
        <w:lastRenderedPageBreak/>
        <w:t xml:space="preserve">Участник, за когото са налице </w:t>
      </w:r>
      <w:r w:rsidRPr="00C32D2D">
        <w:t>основанията за отстраняване, свързани с личното състояние,</w:t>
      </w:r>
      <w:r w:rsidRPr="00C32D2D">
        <w:rPr>
          <w:bCs/>
          <w:iCs/>
        </w:rPr>
        <w:t xml:space="preserve"> има право да предприеме мерки за доказване на надеждност съгласно чл. 56, ал. 1 от ЗОП. Когато мерките за доказване на надеждност са предприети преди подаване на офертата за участие, същите се описват в Единния европейски документ за обществени поръчки (ЕЕДОП). Като доказателства за надеждността на участника се представят документите по чл. 45, ал. 2 от ППЗОП. </w:t>
      </w:r>
    </w:p>
    <w:p w:rsidR="00400AB0" w:rsidRPr="00A12722" w:rsidRDefault="00400AB0" w:rsidP="00965F4F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  <w:rPr>
          <w:lang w:val="bg-BG"/>
          <w14:shadow w14:blurRad="0" w14:dist="0" w14:dir="0" w14:sx="0" w14:sy="0" w14:kx="0" w14:ky="0" w14:algn="none">
            <w14:srgbClr w14:val="000000"/>
          </w14:shadow>
        </w:rPr>
      </w:pPr>
      <w:r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ІІ. </w:t>
      </w:r>
      <w:r w:rsidR="002D618A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>УСЛОВИЯ</w:t>
      </w:r>
      <w:r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 НА </w:t>
      </w:r>
      <w:r w:rsidR="000B59FE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обществената </w:t>
      </w:r>
      <w:r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>ПОРЪЧКА</w:t>
      </w:r>
    </w:p>
    <w:p w:rsidR="00712BB9" w:rsidRPr="00A12722" w:rsidRDefault="00712BB9" w:rsidP="0026221C">
      <w:pPr>
        <w:pStyle w:val="2"/>
      </w:pPr>
      <w:r w:rsidRPr="00A12722">
        <w:t xml:space="preserve">1. </w:t>
      </w:r>
      <w:r w:rsidR="00D32698" w:rsidRPr="00A12722">
        <w:t>Кратко о</w:t>
      </w:r>
      <w:r w:rsidRPr="00A12722">
        <w:t>писание:</w:t>
      </w:r>
    </w:p>
    <w:p w:rsidR="0067167B" w:rsidRPr="0067167B" w:rsidRDefault="006F25C7" w:rsidP="0067167B">
      <w:pPr>
        <w:spacing w:before="120"/>
        <w:ind w:firstLine="567"/>
        <w:jc w:val="both"/>
      </w:pPr>
      <w:r w:rsidRPr="0067167B">
        <w:rPr>
          <w:b/>
        </w:rPr>
        <w:t xml:space="preserve">1.1. </w:t>
      </w:r>
      <w:r w:rsidR="0067167B" w:rsidRPr="0067167B">
        <w:t>Предметът на поръчката включва изпълнение на строителни и монтажни работи, свързани с основен ремонт, реконструкция, благоустрояване и внедряване на мерки за енергийна ефективност в две сгради и прилежащите им дворни места на  СОУ „Любен Каравелов“</w:t>
      </w:r>
      <w:r w:rsidR="002A1B65">
        <w:t xml:space="preserve"> по две обособени позиции, както следва:</w:t>
      </w:r>
    </w:p>
    <w:p w:rsidR="0067167B" w:rsidRPr="0067167B" w:rsidRDefault="002A1B65" w:rsidP="0067167B">
      <w:pPr>
        <w:spacing w:before="120"/>
        <w:ind w:firstLine="567"/>
        <w:jc w:val="both"/>
      </w:pPr>
      <w:r>
        <w:t xml:space="preserve">Обособена позиция №1 </w:t>
      </w:r>
      <w:r w:rsidR="0067167B" w:rsidRPr="0067167B">
        <w:t xml:space="preserve">- </w:t>
      </w:r>
      <w:r>
        <w:t xml:space="preserve">Обновяване на </w:t>
      </w:r>
      <w:r w:rsidR="0067167B" w:rsidRPr="0067167B">
        <w:t xml:space="preserve">СОУ „Любен Каравелов“ сграда 1, находяща се на ул. „Лютиче“ № 2, гр. Пловдив; </w:t>
      </w:r>
    </w:p>
    <w:p w:rsidR="00B273CD" w:rsidRPr="0067167B" w:rsidRDefault="002A1B65" w:rsidP="0067167B">
      <w:pPr>
        <w:spacing w:before="120"/>
        <w:ind w:firstLine="567"/>
        <w:jc w:val="both"/>
      </w:pPr>
      <w:r>
        <w:t xml:space="preserve">Обособена позиция №2 </w:t>
      </w:r>
      <w:r w:rsidRPr="002A1B65">
        <w:t xml:space="preserve">- Обновяване на </w:t>
      </w:r>
      <w:r w:rsidR="0067167B" w:rsidRPr="0067167B">
        <w:t>СОУ „Любен Каравелов“ сграда 2, находяща се на ул. „</w:t>
      </w:r>
      <w:proofErr w:type="spellStart"/>
      <w:r w:rsidR="0067167B" w:rsidRPr="0067167B">
        <w:t>Марагидик</w:t>
      </w:r>
      <w:proofErr w:type="spellEnd"/>
      <w:r w:rsidR="0067167B" w:rsidRPr="0067167B">
        <w:t>“ № 37, гр. Пловдив</w:t>
      </w:r>
      <w:r w:rsidR="0028669E">
        <w:t>.</w:t>
      </w:r>
    </w:p>
    <w:p w:rsidR="002A1B65" w:rsidRDefault="002A1B65" w:rsidP="00B273CD">
      <w:pPr>
        <w:pStyle w:val="32"/>
        <w:spacing w:after="0"/>
      </w:pPr>
      <w:r w:rsidRPr="0067167B">
        <w:t>Изпълнението на строителството ще се реализира в съответствие с одобрени инвестиционни проекти за всеки обект</w:t>
      </w:r>
      <w:r w:rsidR="00D80070">
        <w:t>.</w:t>
      </w:r>
      <w:r w:rsidRPr="00C73E56">
        <w:t xml:space="preserve"> </w:t>
      </w:r>
    </w:p>
    <w:p w:rsidR="00B273CD" w:rsidRPr="00C73E56" w:rsidRDefault="008157DD" w:rsidP="00B273CD">
      <w:pPr>
        <w:pStyle w:val="32"/>
        <w:spacing w:after="0"/>
        <w:rPr>
          <w:b w:val="0"/>
        </w:rPr>
      </w:pPr>
      <w:r w:rsidRPr="00C73E56">
        <w:t xml:space="preserve">1.2. </w:t>
      </w:r>
      <w:r w:rsidR="002A1B65">
        <w:rPr>
          <w:b w:val="0"/>
        </w:rPr>
        <w:t>О</w:t>
      </w:r>
      <w:r w:rsidRPr="00C73E56">
        <w:rPr>
          <w:b w:val="0"/>
        </w:rPr>
        <w:t>писание</w:t>
      </w:r>
      <w:r w:rsidR="002A1B65">
        <w:rPr>
          <w:b w:val="0"/>
        </w:rPr>
        <w:t xml:space="preserve"> на обектите</w:t>
      </w:r>
      <w:r w:rsidR="006F25C7" w:rsidRPr="00C73E56">
        <w:rPr>
          <w:b w:val="0"/>
        </w:rPr>
        <w:t>, включ</w:t>
      </w:r>
      <w:r w:rsidR="00B273CD" w:rsidRPr="00C73E56">
        <w:rPr>
          <w:b w:val="0"/>
        </w:rPr>
        <w:t>ително естество, обем и изисквания за изпълнение на поръчката са представени в техническ</w:t>
      </w:r>
      <w:r w:rsidR="00C73E56" w:rsidRPr="00C73E56">
        <w:rPr>
          <w:b w:val="0"/>
        </w:rPr>
        <w:t>а</w:t>
      </w:r>
      <w:r w:rsidR="00B273CD" w:rsidRPr="00C73E56">
        <w:rPr>
          <w:b w:val="0"/>
        </w:rPr>
        <w:t>т</w:t>
      </w:r>
      <w:r w:rsidR="00C73E56" w:rsidRPr="00C73E56">
        <w:rPr>
          <w:b w:val="0"/>
        </w:rPr>
        <w:t>а</w:t>
      </w:r>
      <w:r w:rsidR="00B273CD" w:rsidRPr="00C73E56">
        <w:rPr>
          <w:b w:val="0"/>
        </w:rPr>
        <w:t xml:space="preserve"> спецификаци</w:t>
      </w:r>
      <w:r w:rsidR="00C73E56" w:rsidRPr="00C73E56">
        <w:rPr>
          <w:b w:val="0"/>
        </w:rPr>
        <w:t>я</w:t>
      </w:r>
      <w:r w:rsidR="002934AB" w:rsidRPr="007C0BE1">
        <w:rPr>
          <w:b w:val="0"/>
        </w:rPr>
        <w:t>.</w:t>
      </w:r>
      <w:r w:rsidR="00B273CD" w:rsidRPr="00C73E56">
        <w:rPr>
          <w:b w:val="0"/>
        </w:rPr>
        <w:t xml:space="preserve">  </w:t>
      </w:r>
    </w:p>
    <w:p w:rsidR="008157DD" w:rsidRPr="007C0BE1" w:rsidRDefault="006F25C7" w:rsidP="00B273CD">
      <w:pPr>
        <w:pStyle w:val="32"/>
        <w:spacing w:after="0"/>
        <w:rPr>
          <w:b w:val="0"/>
        </w:rPr>
      </w:pPr>
      <w:r w:rsidRPr="007C0BE1">
        <w:rPr>
          <w:b w:val="0"/>
        </w:rPr>
        <w:t xml:space="preserve"> </w:t>
      </w:r>
      <w:r w:rsidR="008157DD" w:rsidRPr="007C0BE1">
        <w:t>1.</w:t>
      </w:r>
      <w:r w:rsidR="008157DD" w:rsidRPr="007C0BE1">
        <w:rPr>
          <w:lang w:val="en-US"/>
        </w:rPr>
        <w:t>3</w:t>
      </w:r>
      <w:r w:rsidR="008157DD" w:rsidRPr="007C0BE1">
        <w:t xml:space="preserve">. </w:t>
      </w:r>
      <w:r w:rsidR="008157DD" w:rsidRPr="007C0BE1">
        <w:rPr>
          <w:b w:val="0"/>
        </w:rPr>
        <w:t>Условията, при които ще се реализира предметът на поръчката, правата и задълженията на страните, са подробно разписани в проект</w:t>
      </w:r>
      <w:r w:rsidR="0067167B" w:rsidRPr="007C0BE1">
        <w:rPr>
          <w:b w:val="0"/>
        </w:rPr>
        <w:t>а</w:t>
      </w:r>
      <w:r w:rsidR="008157DD" w:rsidRPr="007C0BE1">
        <w:rPr>
          <w:b w:val="0"/>
        </w:rPr>
        <w:t xml:space="preserve"> на договор за възлагане на </w:t>
      </w:r>
      <w:r w:rsidR="00C73E56" w:rsidRPr="007C0BE1">
        <w:rPr>
          <w:b w:val="0"/>
        </w:rPr>
        <w:t>обществена поръчка</w:t>
      </w:r>
      <w:r w:rsidR="008157DD" w:rsidRPr="007C0BE1">
        <w:rPr>
          <w:b w:val="0"/>
        </w:rPr>
        <w:t xml:space="preserve">. </w:t>
      </w:r>
    </w:p>
    <w:p w:rsidR="00A75B70" w:rsidRPr="00A12722" w:rsidRDefault="00BD050F" w:rsidP="0026221C">
      <w:pPr>
        <w:pStyle w:val="2"/>
      </w:pPr>
      <w:r w:rsidRPr="007C0BE1">
        <w:t>2</w:t>
      </w:r>
      <w:r w:rsidR="00F90F34" w:rsidRPr="007C0BE1">
        <w:t xml:space="preserve">. </w:t>
      </w:r>
      <w:r w:rsidR="00E624DC" w:rsidRPr="007C0BE1">
        <w:t>Финанс</w:t>
      </w:r>
      <w:r w:rsidR="00646C05" w:rsidRPr="007C0BE1">
        <w:t>ови условия</w:t>
      </w:r>
      <w:r w:rsidR="00A75B70" w:rsidRPr="007C0BE1">
        <w:t>:</w:t>
      </w:r>
    </w:p>
    <w:p w:rsidR="00CF6FA7" w:rsidRPr="00C73E56" w:rsidRDefault="00CF6FA7" w:rsidP="0026221C">
      <w:pPr>
        <w:spacing w:before="120" w:after="120"/>
        <w:ind w:firstLine="567"/>
        <w:jc w:val="both"/>
      </w:pPr>
      <w:r w:rsidRPr="00C73E56">
        <w:rPr>
          <w:b/>
        </w:rPr>
        <w:t>2.1.</w:t>
      </w:r>
      <w:r w:rsidRPr="00C73E56">
        <w:t xml:space="preserve"> </w:t>
      </w:r>
      <w:r w:rsidR="00C73E56" w:rsidRPr="00C73E56">
        <w:rPr>
          <w:b/>
        </w:rPr>
        <w:t>Максимална</w:t>
      </w:r>
      <w:r w:rsidRPr="00C73E56">
        <w:rPr>
          <w:b/>
        </w:rPr>
        <w:t xml:space="preserve"> стойност на поръчката:</w:t>
      </w:r>
      <w:r w:rsidRPr="00C73E56">
        <w:t xml:space="preserve"> </w:t>
      </w:r>
      <w:r w:rsidR="00AB1C38" w:rsidRPr="00C73E56">
        <w:rPr>
          <w:b/>
        </w:rPr>
        <w:t>6 058 340,93</w:t>
      </w:r>
      <w:r w:rsidRPr="00C73E56">
        <w:rPr>
          <w:b/>
        </w:rPr>
        <w:t xml:space="preserve"> лв. без включен ДДС</w:t>
      </w:r>
      <w:r w:rsidR="00C73E56" w:rsidRPr="00C73E56">
        <w:rPr>
          <w:b/>
        </w:rPr>
        <w:t>,</w:t>
      </w:r>
      <w:r w:rsidRPr="00C73E56">
        <w:t xml:space="preserve"> като същата е разпределена по </w:t>
      </w:r>
      <w:r w:rsidR="00965F4F">
        <w:t>обособени позиции</w:t>
      </w:r>
      <w:r w:rsidRPr="00C73E56">
        <w:t>, както следва:</w:t>
      </w:r>
    </w:p>
    <w:p w:rsidR="0067167B" w:rsidRPr="00C73E56" w:rsidRDefault="00965F4F" w:rsidP="0026221C">
      <w:pPr>
        <w:spacing w:before="120" w:after="120"/>
        <w:ind w:firstLine="567"/>
        <w:jc w:val="both"/>
      </w:pPr>
      <w:r>
        <w:t xml:space="preserve">Обособена позиция №1 </w:t>
      </w:r>
      <w:r w:rsidRPr="00965F4F">
        <w:t>Обновяване на СОУ „Любен Каравелов“ сграда 1,</w:t>
      </w:r>
      <w:r>
        <w:rPr>
          <w:b/>
        </w:rPr>
        <w:t xml:space="preserve"> </w:t>
      </w:r>
      <w:r w:rsidR="0067167B" w:rsidRPr="00C73E56">
        <w:t xml:space="preserve">находяща се на ул. „Лютиче“ № 2 в размер до </w:t>
      </w:r>
      <w:r w:rsidR="00AB1C38" w:rsidRPr="00C73E56">
        <w:t>3 681 348,38 лв. без ДДС</w:t>
      </w:r>
      <w:r w:rsidR="00AC2D99">
        <w:t>;</w:t>
      </w:r>
    </w:p>
    <w:p w:rsidR="0067167B" w:rsidRPr="00C73E56" w:rsidRDefault="00965F4F" w:rsidP="0026221C">
      <w:pPr>
        <w:spacing w:before="120" w:after="120"/>
        <w:ind w:firstLine="567"/>
        <w:jc w:val="both"/>
      </w:pPr>
      <w:r w:rsidRPr="00965F4F">
        <w:t>Обособена позиция №2 Обновяване на СОУ „Любен Каравелов“ сграда 2</w:t>
      </w:r>
      <w:r w:rsidR="0067167B" w:rsidRPr="00965F4F">
        <w:t>,</w:t>
      </w:r>
      <w:r w:rsidR="0067167B" w:rsidRPr="00C73E56">
        <w:t xml:space="preserve"> находяща се на ул. „</w:t>
      </w:r>
      <w:proofErr w:type="spellStart"/>
      <w:r w:rsidR="0067167B" w:rsidRPr="00C73E56">
        <w:t>Марагидик</w:t>
      </w:r>
      <w:proofErr w:type="spellEnd"/>
      <w:r w:rsidR="0067167B" w:rsidRPr="00C73E56">
        <w:t xml:space="preserve">“ № 37 в размер до </w:t>
      </w:r>
      <w:r w:rsidR="00AB1C38" w:rsidRPr="00C73E56">
        <w:t>2 376 992,55 лв. без ДДС</w:t>
      </w:r>
      <w:r w:rsidR="00C73E56" w:rsidRPr="00C73E56">
        <w:t>.</w:t>
      </w:r>
    </w:p>
    <w:p w:rsidR="00C73E56" w:rsidRPr="00B37F73" w:rsidRDefault="00C73E56" w:rsidP="0026221C">
      <w:pPr>
        <w:spacing w:before="120" w:after="120"/>
        <w:ind w:firstLine="567"/>
        <w:jc w:val="both"/>
      </w:pPr>
      <w:r w:rsidRPr="00C73E56">
        <w:t xml:space="preserve">Участник, чието ценово предложение надхвърля максималната стойност, </w:t>
      </w:r>
      <w:r w:rsidR="00965F4F">
        <w:t>за съответната обособена позиция</w:t>
      </w:r>
      <w:r w:rsidRPr="00C73E56">
        <w:t xml:space="preserve">, ще бъде отстранен от участие в настоящата </w:t>
      </w:r>
      <w:r w:rsidRPr="00B37F73">
        <w:t xml:space="preserve">процедура.  </w:t>
      </w:r>
    </w:p>
    <w:p w:rsidR="00D94B04" w:rsidRPr="00B37F73" w:rsidRDefault="006F25C7" w:rsidP="00D94B04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120"/>
        <w:ind w:firstLine="567"/>
        <w:jc w:val="both"/>
      </w:pPr>
      <w:r w:rsidRPr="00B37F73">
        <w:rPr>
          <w:b/>
        </w:rPr>
        <w:t>2.</w:t>
      </w:r>
      <w:r w:rsidR="00CF6FA7" w:rsidRPr="00B37F73">
        <w:rPr>
          <w:b/>
        </w:rPr>
        <w:t>2</w:t>
      </w:r>
      <w:r w:rsidRPr="00B37F73">
        <w:rPr>
          <w:b/>
        </w:rPr>
        <w:t>.</w:t>
      </w:r>
      <w:r w:rsidR="00CF6FA7" w:rsidRPr="00B37F73">
        <w:t xml:space="preserve"> </w:t>
      </w:r>
      <w:r w:rsidR="00D94B04" w:rsidRPr="00B37F73">
        <w:t xml:space="preserve">Финансовите средства по настоящата обществена поръчка се осигуряват </w:t>
      </w:r>
      <w:r w:rsidR="00B37F73" w:rsidRPr="00B37F73">
        <w:t xml:space="preserve">по Процедура </w:t>
      </w:r>
      <w:r w:rsidR="00B37F73" w:rsidRPr="00B37F73">
        <w:rPr>
          <w:lang w:val="en-US"/>
        </w:rPr>
        <w:t>BG16RFOP001-1.001-039</w:t>
      </w:r>
      <w:r w:rsidR="00B37F73" w:rsidRPr="00B37F73">
        <w:t xml:space="preserve"> „Изпълнение на Интегрирани планове за градско възстановяване и развитие 2014-2020“, Приоритетна ос 1 „Устойчиво и интегрирано градско развитие“ по ОПРР 2014-2020 г.</w:t>
      </w:r>
      <w:r w:rsidR="005C2CBD">
        <w:t xml:space="preserve"> и от бюджета на Община Пловдив</w:t>
      </w:r>
      <w:r w:rsidR="00D94B04" w:rsidRPr="00B37F73">
        <w:t>.</w:t>
      </w:r>
    </w:p>
    <w:p w:rsidR="00D94B04" w:rsidRPr="00B37F73" w:rsidRDefault="00697AFD" w:rsidP="00D94B04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120"/>
        <w:ind w:firstLine="567"/>
        <w:jc w:val="both"/>
        <w:rPr>
          <w:u w:val="single"/>
        </w:rPr>
      </w:pPr>
      <w:r w:rsidRPr="00697AFD">
        <w:rPr>
          <w:u w:val="single"/>
        </w:rPr>
        <w:t>На основание чл. 114 от ЗОП настоящата поръчка се обявява под условие „наличие на финансиране“, тъй като към момента на откриване</w:t>
      </w:r>
      <w:r w:rsidR="00FE3F62">
        <w:rPr>
          <w:u w:val="single"/>
        </w:rPr>
        <w:t>то ѝ</w:t>
      </w:r>
      <w:r w:rsidRPr="00697AFD">
        <w:rPr>
          <w:u w:val="single"/>
        </w:rPr>
        <w:t xml:space="preserve"> няма сключен Договор за предоставяне на безвъзмездна финансова помощ между Община Пловдив и </w:t>
      </w:r>
      <w:r w:rsidRPr="00697AFD">
        <w:rPr>
          <w:u w:val="single"/>
        </w:rPr>
        <w:lastRenderedPageBreak/>
        <w:t>Управляващия орган на ОПРР 2014-2020 г.</w:t>
      </w:r>
      <w:r w:rsidR="00D94B04" w:rsidRPr="00B37F73">
        <w:rPr>
          <w:u w:val="single"/>
        </w:rPr>
        <w:t>, като в проекта на договора е предвидена клауза за отложено изпълнение.</w:t>
      </w:r>
    </w:p>
    <w:p w:rsidR="00B273CD" w:rsidRPr="00B273CD" w:rsidRDefault="006F25C7" w:rsidP="00D94B04">
      <w:pPr>
        <w:widowControl w:val="0"/>
        <w:tabs>
          <w:tab w:val="left" w:pos="-142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b/>
        </w:rPr>
        <w:t>2.</w:t>
      </w:r>
      <w:r w:rsidR="00B273CD">
        <w:rPr>
          <w:b/>
        </w:rPr>
        <w:t>3</w:t>
      </w:r>
      <w:r>
        <w:rPr>
          <w:b/>
        </w:rPr>
        <w:t xml:space="preserve">. </w:t>
      </w:r>
      <w:r w:rsidR="00B273CD" w:rsidRPr="00B273CD">
        <w:t xml:space="preserve">Плащанията ще се извършват в съответствие с условията в проекта на договор като се предвижда авансово плащане в </w:t>
      </w:r>
      <w:r w:rsidR="00B273CD" w:rsidRPr="00D80070">
        <w:t xml:space="preserve">размер </w:t>
      </w:r>
      <w:r w:rsidR="001A7F1C" w:rsidRPr="00D80070">
        <w:t>на</w:t>
      </w:r>
      <w:r w:rsidR="00B273CD" w:rsidRPr="00D80070">
        <w:t xml:space="preserve"> </w:t>
      </w:r>
      <w:r w:rsidR="00D80070" w:rsidRPr="00D80070">
        <w:t>4</w:t>
      </w:r>
      <w:r w:rsidR="00B273CD" w:rsidRPr="00D80070">
        <w:t>0% от</w:t>
      </w:r>
      <w:r w:rsidR="00AE37B8">
        <w:t xml:space="preserve"> стойността на договора с</w:t>
      </w:r>
      <w:r w:rsidR="00B273CD" w:rsidRPr="00B273CD">
        <w:t xml:space="preserve"> ДДС. </w:t>
      </w:r>
      <w:r w:rsidR="00B273CD" w:rsidRPr="00194D4B">
        <w:t>Сроковете за разплащане са определени съгласно чл. 303а, ал. 2 от Търговския закон</w:t>
      </w:r>
      <w:r w:rsidR="00B273CD">
        <w:t>.</w:t>
      </w:r>
    </w:p>
    <w:p w:rsidR="006F25C7" w:rsidRPr="00ED4707" w:rsidRDefault="00B273CD" w:rsidP="0026221C">
      <w:pPr>
        <w:spacing w:before="120" w:after="120"/>
        <w:ind w:firstLine="567"/>
        <w:jc w:val="both"/>
        <w:rPr>
          <w:bCs/>
        </w:rPr>
      </w:pPr>
      <w:r>
        <w:rPr>
          <w:b/>
        </w:rPr>
        <w:t xml:space="preserve">2.4. </w:t>
      </w:r>
      <w:r w:rsidR="006F25C7" w:rsidRPr="0082348F">
        <w:t xml:space="preserve">Когато дейност, предмет на </w:t>
      </w:r>
      <w:r w:rsidR="006F25C7">
        <w:t>поръчката</w:t>
      </w:r>
      <w:r w:rsidR="006F25C7" w:rsidRPr="0082348F">
        <w:t xml:space="preserve">, се извършва от подизпълнител и може да бъде предадена като отделен обект на </w:t>
      </w:r>
      <w:r w:rsidR="006F25C7">
        <w:t xml:space="preserve">изпълнителя </w:t>
      </w:r>
      <w:r w:rsidR="006F25C7" w:rsidRPr="0082348F">
        <w:t xml:space="preserve">или </w:t>
      </w:r>
      <w:r w:rsidR="006F25C7">
        <w:t>възложителя</w:t>
      </w:r>
      <w:r w:rsidR="006F25C7" w:rsidRPr="0082348F">
        <w:t xml:space="preserve">, заплащането й </w:t>
      </w:r>
      <w:r w:rsidR="006F25C7">
        <w:t xml:space="preserve">ще </w:t>
      </w:r>
      <w:r w:rsidR="006F25C7" w:rsidRPr="0082348F">
        <w:t xml:space="preserve">се извършва директно на подизпълнителя като в този случай към изискуемите от </w:t>
      </w:r>
      <w:r w:rsidR="006F25C7">
        <w:t>възложителя</w:t>
      </w:r>
      <w:r w:rsidR="006F25C7" w:rsidRPr="0082348F">
        <w:t xml:space="preserve"> документи </w:t>
      </w:r>
      <w:r w:rsidR="006F25C7">
        <w:t xml:space="preserve">ще </w:t>
      </w:r>
      <w:r w:rsidR="006F25C7" w:rsidRPr="0082348F">
        <w:t xml:space="preserve">се представя искане за плащане от подизпълнител, придружено от становище на </w:t>
      </w:r>
      <w:r w:rsidR="006F25C7">
        <w:t>изпълнителя</w:t>
      </w:r>
      <w:r w:rsidR="006F25C7" w:rsidRPr="0082348F">
        <w:t xml:space="preserve">, от което да е видно дали оспорва плащанията или част от тях като недължими. В искането за плащане и в становището на </w:t>
      </w:r>
      <w:r w:rsidR="006F25C7">
        <w:t>изпълнителя</w:t>
      </w:r>
      <w:r w:rsidR="006F25C7" w:rsidRPr="0082348F">
        <w:t xml:space="preserve"> следва да бъде посочен размера на дължимото възнаграждение, както и банкова сметка на подизпълнителя, по която да бъде извършено плащането. </w:t>
      </w:r>
      <w:r w:rsidR="006F25C7" w:rsidRPr="00BA5D6A">
        <w:t xml:space="preserve"> Възложителят ще има право да откаже директно плащане към подизпълнител, когато искането за плащане е оспорено, до момента на отстраняване на причините за отказа.</w:t>
      </w:r>
    </w:p>
    <w:p w:rsidR="007572C3" w:rsidRPr="00A12722" w:rsidRDefault="007572C3" w:rsidP="0026221C">
      <w:pPr>
        <w:pStyle w:val="2"/>
      </w:pPr>
      <w:r w:rsidRPr="00A12722">
        <w:t xml:space="preserve">3. </w:t>
      </w:r>
      <w:r w:rsidR="004B571D" w:rsidRPr="00A12722">
        <w:t>С</w:t>
      </w:r>
      <w:r w:rsidR="00431FEF" w:rsidRPr="00A12722">
        <w:t>ключване на договор</w:t>
      </w:r>
      <w:r w:rsidRPr="00A12722">
        <w:t>:</w:t>
      </w:r>
    </w:p>
    <w:p w:rsidR="008157DD" w:rsidRDefault="008157DD" w:rsidP="0026221C">
      <w:pPr>
        <w:spacing w:before="120" w:after="120"/>
        <w:ind w:firstLine="567"/>
        <w:jc w:val="both"/>
      </w:pPr>
      <w:r w:rsidRPr="008543D1">
        <w:rPr>
          <w:b/>
        </w:rPr>
        <w:t>3.1.</w:t>
      </w:r>
      <w:r w:rsidRPr="008543D1">
        <w:t xml:space="preserve"> </w:t>
      </w:r>
      <w:r>
        <w:t>Условията за сключване на договор за възлагане на обществената поръчка</w:t>
      </w:r>
      <w:r w:rsidR="00B273CD">
        <w:t xml:space="preserve"> </w:t>
      </w:r>
      <w:r>
        <w:t xml:space="preserve">са определени в чл. 112 от ЗОП. </w:t>
      </w:r>
    </w:p>
    <w:p w:rsidR="008157DD" w:rsidRDefault="008157DD" w:rsidP="0026221C">
      <w:pPr>
        <w:spacing w:before="120" w:after="120"/>
        <w:ind w:firstLine="567"/>
        <w:jc w:val="both"/>
      </w:pPr>
      <w:r w:rsidRPr="0033150A">
        <w:rPr>
          <w:b/>
        </w:rPr>
        <w:t>3.2.</w:t>
      </w:r>
      <w:r>
        <w:t xml:space="preserve"> </w:t>
      </w:r>
      <w:r w:rsidRPr="008543D1">
        <w:t>Възложителят сключва писмен договор за въ</w:t>
      </w:r>
      <w:r>
        <w:t xml:space="preserve">злагане на </w:t>
      </w:r>
      <w:r w:rsidR="00374686">
        <w:t>обществена поръчка</w:t>
      </w:r>
      <w:r>
        <w:t xml:space="preserve"> </w:t>
      </w:r>
      <w:r w:rsidRPr="008543D1">
        <w:t xml:space="preserve">с участника, определен за изпълнител </w:t>
      </w:r>
      <w:r>
        <w:t>в съответствие с чл. 109 от ЗОП</w:t>
      </w:r>
      <w:r w:rsidRPr="008543D1">
        <w:t xml:space="preserve">. </w:t>
      </w:r>
    </w:p>
    <w:p w:rsidR="004D2576" w:rsidRDefault="008157DD" w:rsidP="0026221C">
      <w:pPr>
        <w:spacing w:before="120" w:after="120"/>
        <w:ind w:firstLine="567"/>
        <w:jc w:val="both"/>
      </w:pPr>
      <w:r w:rsidRPr="00A65112">
        <w:rPr>
          <w:b/>
        </w:rPr>
        <w:t>3.3.</w:t>
      </w:r>
      <w:r w:rsidRPr="00A65112">
        <w:t xml:space="preserve"> </w:t>
      </w:r>
      <w:r w:rsidR="00AE37B8" w:rsidRPr="00AE37B8">
        <w:t>Предвиждат се гаранции за добро изпълнение и за авансово предоставени средства по всеки договор. Гаранцията за добро изпълнение е в размер на 5 % от стойността на договора без ДДС. Гаранцията за авансово предоставени средства е в пълния размер на предоставения аванс, който е определен до 40 % от стойността на договора с включен ДДС.</w:t>
      </w:r>
      <w:r w:rsidR="00AE37B8">
        <w:t xml:space="preserve"> </w:t>
      </w:r>
    </w:p>
    <w:p w:rsidR="002E455D" w:rsidRPr="002E455D" w:rsidRDefault="002E455D" w:rsidP="002E455D">
      <w:pPr>
        <w:spacing w:before="120" w:after="120"/>
        <w:ind w:firstLine="567"/>
        <w:jc w:val="both"/>
      </w:pPr>
      <w:r w:rsidRPr="002E455D">
        <w:t>Гаранци</w:t>
      </w:r>
      <w:r w:rsidR="00AE37B8">
        <w:t>ите</w:t>
      </w:r>
      <w:r w:rsidRPr="002E455D">
        <w:t xml:space="preserve"> за изпълнение се предоставя</w:t>
      </w:r>
      <w:r w:rsidR="00AE37B8">
        <w:t>т</w:t>
      </w:r>
      <w:r w:rsidRPr="002E455D">
        <w:t xml:space="preserve"> под формата на банкова гаранция, застраховка, която обезпечава изпълнението чрез покритие на отговорността на изпълнителя или парична сума, депозирана по сметка на възложителя.</w:t>
      </w:r>
    </w:p>
    <w:p w:rsidR="002E455D" w:rsidRPr="002E455D" w:rsidRDefault="002E455D" w:rsidP="002E455D">
      <w:pPr>
        <w:pStyle w:val="aff0"/>
        <w:ind w:firstLine="567"/>
        <w:jc w:val="both"/>
      </w:pPr>
      <w:r w:rsidRPr="002E455D">
        <w:t xml:space="preserve">Когато като Гаранция за изпълнение се представя парична сума, сумата се внася по следната банкова сметка на ВЪЗЛОЖИТЕЛЯ: </w:t>
      </w:r>
    </w:p>
    <w:p w:rsidR="002E455D" w:rsidRPr="002E455D" w:rsidRDefault="002E455D" w:rsidP="002E455D">
      <w:pPr>
        <w:pStyle w:val="aff0"/>
      </w:pPr>
      <w:r w:rsidRPr="002E455D">
        <w:t>Банка:</w:t>
      </w:r>
      <w:r w:rsidRPr="002E455D">
        <w:tab/>
        <w:t xml:space="preserve">ТБ </w:t>
      </w:r>
      <w:proofErr w:type="spellStart"/>
      <w:r w:rsidRPr="002E455D">
        <w:t>Инвестбанк</w:t>
      </w:r>
      <w:proofErr w:type="spellEnd"/>
      <w:r w:rsidRPr="002E455D">
        <w:t xml:space="preserve"> АД – Клон Пловдив</w:t>
      </w:r>
    </w:p>
    <w:p w:rsidR="002E455D" w:rsidRPr="002E455D" w:rsidRDefault="002E455D" w:rsidP="002E455D">
      <w:pPr>
        <w:pStyle w:val="aff0"/>
      </w:pPr>
      <w:r w:rsidRPr="002E455D">
        <w:t>BIC:</w:t>
      </w:r>
      <w:r w:rsidRPr="002E455D">
        <w:tab/>
        <w:t>IORTBGS</w:t>
      </w:r>
    </w:p>
    <w:p w:rsidR="002E455D" w:rsidRPr="002E455D" w:rsidRDefault="002E455D" w:rsidP="002E455D">
      <w:pPr>
        <w:pStyle w:val="aff0"/>
      </w:pPr>
      <w:r w:rsidRPr="002E455D">
        <w:t>IBAN:</w:t>
      </w:r>
      <w:r w:rsidRPr="002E455D">
        <w:tab/>
        <w:t>BG57 IORT 7375 3302 0000 03</w:t>
      </w:r>
    </w:p>
    <w:p w:rsidR="002E455D" w:rsidRPr="002E455D" w:rsidRDefault="002E455D" w:rsidP="002E455D">
      <w:pPr>
        <w:spacing w:before="120" w:after="120"/>
        <w:ind w:firstLine="567"/>
        <w:jc w:val="both"/>
      </w:pPr>
      <w:r w:rsidRPr="002E455D">
        <w:t>Когато като гаранция за изпълнение се представя банкова гаранция или застраховка, изпълнителят предава на възложителя оригинален екземпляр на банкова гаранция/застрахователна полица, издадена в полза на възложителя, която трябва да бъде във форма, предварително съгласувана с възложителя;</w:t>
      </w:r>
    </w:p>
    <w:p w:rsidR="008157DD" w:rsidRDefault="004D2576" w:rsidP="0026221C">
      <w:pPr>
        <w:spacing w:before="120" w:after="120"/>
        <w:ind w:firstLine="567"/>
        <w:jc w:val="both"/>
        <w:rPr>
          <w:bCs/>
          <w:iCs/>
        </w:rPr>
      </w:pPr>
      <w:r w:rsidRPr="004D2576">
        <w:rPr>
          <w:b/>
        </w:rPr>
        <w:t>3.4.</w:t>
      </w:r>
      <w:r>
        <w:t xml:space="preserve"> </w:t>
      </w:r>
      <w:r w:rsidR="008157DD">
        <w:t>Преди сключване на договор, избраният изпълнител следва да представи</w:t>
      </w:r>
      <w:r>
        <w:t xml:space="preserve"> изискуемата гаранция за добро изпълнение, както и</w:t>
      </w:r>
      <w:r w:rsidR="008157DD">
        <w:rPr>
          <w:lang w:val="en-US"/>
        </w:rPr>
        <w:t xml:space="preserve"> </w:t>
      </w:r>
      <w:r w:rsidR="008157DD">
        <w:t xml:space="preserve">актуални документи, удостоверяващи </w:t>
      </w:r>
      <w:r w:rsidR="00B273CD">
        <w:t xml:space="preserve">съответствието му с критериите за подбор и </w:t>
      </w:r>
      <w:r w:rsidR="008157DD">
        <w:t xml:space="preserve">липсата на основанията за отстраняване от процедурата съобразно чл. 58 от ЗОП. </w:t>
      </w:r>
      <w:r w:rsidR="00AE37B8" w:rsidRPr="00AE37B8">
        <w:t>Документите се представят и за подизпълнителите и третите лица, ако има такива.</w:t>
      </w:r>
      <w:r w:rsidR="00AE37B8">
        <w:t xml:space="preserve"> </w:t>
      </w:r>
      <w:r w:rsidR="008157DD">
        <w:rPr>
          <w:rFonts w:eastAsia="Arial"/>
          <w:noProof/>
          <w:lang w:eastAsia="ar-SA"/>
        </w:rPr>
        <w:t xml:space="preserve">Съгласно чл. 70 от ППЗОП, когато </w:t>
      </w:r>
      <w:r w:rsidR="008157DD" w:rsidRPr="008543D1">
        <w:rPr>
          <w:bCs/>
          <w:iCs/>
        </w:rPr>
        <w:t>определен</w:t>
      </w:r>
      <w:r w:rsidR="008157DD">
        <w:rPr>
          <w:bCs/>
          <w:iCs/>
        </w:rPr>
        <w:t>ият</w:t>
      </w:r>
      <w:r w:rsidR="008157DD" w:rsidRPr="008543D1">
        <w:rPr>
          <w:bCs/>
          <w:iCs/>
        </w:rPr>
        <w:t xml:space="preserve"> за изпълнител е неперсонифицирано обединение на физически и/или </w:t>
      </w:r>
      <w:r w:rsidR="008157DD" w:rsidRPr="008543D1">
        <w:rPr>
          <w:bCs/>
          <w:iCs/>
        </w:rPr>
        <w:lastRenderedPageBreak/>
        <w:t xml:space="preserve">юридически лица, преди сключване на договора следва да </w:t>
      </w:r>
      <w:r w:rsidR="008157DD">
        <w:rPr>
          <w:bCs/>
          <w:iCs/>
        </w:rPr>
        <w:t>п</w:t>
      </w:r>
      <w:r w:rsidR="008157DD" w:rsidRPr="008543D1">
        <w:rPr>
          <w:bCs/>
          <w:iCs/>
        </w:rPr>
        <w:t xml:space="preserve">редстави </w:t>
      </w:r>
      <w:r w:rsidR="008157DD">
        <w:rPr>
          <w:bCs/>
          <w:iCs/>
        </w:rPr>
        <w:t>на в</w:t>
      </w:r>
      <w:r w:rsidR="008157DD" w:rsidRPr="008543D1">
        <w:rPr>
          <w:bCs/>
          <w:iCs/>
        </w:rPr>
        <w:t xml:space="preserve">ъзложителя заверено копие от удостоверение за данъчна регистрация и регистрация по БУЛСТАТ </w:t>
      </w:r>
      <w:r w:rsidR="008157DD">
        <w:rPr>
          <w:bCs/>
          <w:iCs/>
        </w:rPr>
        <w:t>или еквивалентни документи съгласно законодателството на държавата, в която обединението е установено.</w:t>
      </w:r>
    </w:p>
    <w:p w:rsidR="008157DD" w:rsidRDefault="008157DD" w:rsidP="0026221C">
      <w:pPr>
        <w:spacing w:before="120" w:after="120"/>
        <w:ind w:firstLine="567"/>
        <w:jc w:val="both"/>
      </w:pPr>
      <w:r w:rsidRPr="00431FEF">
        <w:rPr>
          <w:b/>
        </w:rPr>
        <w:t>3.</w:t>
      </w:r>
      <w:r w:rsidR="00AD7CBC">
        <w:rPr>
          <w:b/>
        </w:rPr>
        <w:t>5</w:t>
      </w:r>
      <w:r w:rsidRPr="00431FEF">
        <w:rPr>
          <w:b/>
        </w:rPr>
        <w:t>.</w:t>
      </w:r>
      <w:r>
        <w:t xml:space="preserve"> </w:t>
      </w:r>
      <w:r w:rsidR="00B273CD">
        <w:t>В</w:t>
      </w:r>
      <w:r>
        <w:t>ъзложителят няма да изисква документи, които вече са му били предоставени</w:t>
      </w:r>
      <w:r w:rsidR="005F4B0A">
        <w:t>, достъпни са в публични регистри</w:t>
      </w:r>
      <w:r>
        <w:t xml:space="preserve"> или </w:t>
      </w:r>
      <w:r w:rsidR="00B273CD">
        <w:t xml:space="preserve">могат да му бъдат предоставени по </w:t>
      </w:r>
      <w:r>
        <w:t>служеб</w:t>
      </w:r>
      <w:r w:rsidR="00B273CD">
        <w:t>ен път.</w:t>
      </w:r>
      <w:r>
        <w:t xml:space="preserve">  </w:t>
      </w:r>
    </w:p>
    <w:p w:rsidR="006F25C7" w:rsidRDefault="008157DD" w:rsidP="0026221C">
      <w:pPr>
        <w:spacing w:before="120" w:after="120"/>
        <w:ind w:firstLine="567"/>
        <w:jc w:val="both"/>
      </w:pPr>
      <w:r w:rsidRPr="00A65112">
        <w:rPr>
          <w:b/>
        </w:rPr>
        <w:t>3.</w:t>
      </w:r>
      <w:r w:rsidR="00AD7CBC" w:rsidRPr="00A65112">
        <w:rPr>
          <w:b/>
        </w:rPr>
        <w:t>6</w:t>
      </w:r>
      <w:r w:rsidRPr="00A65112">
        <w:rPr>
          <w:b/>
        </w:rPr>
        <w:t>.</w:t>
      </w:r>
      <w:r w:rsidRPr="00A65112">
        <w:t xml:space="preserve"> </w:t>
      </w:r>
      <w:r w:rsidR="00AE37B8" w:rsidRPr="00AE37B8">
        <w:t>Договорът ще бъде със срок на действие от датата на влизането му в сила до датата на въвеждане на строежа в експлоатация, но за не повече от 28 (двадесет и осем) месеца, считано от влизането му в сила.</w:t>
      </w:r>
      <w:r w:rsidR="00374686" w:rsidRPr="00A65112">
        <w:t xml:space="preserve"> </w:t>
      </w:r>
    </w:p>
    <w:p w:rsidR="009355F9" w:rsidRPr="00A12722" w:rsidRDefault="008157DD" w:rsidP="00676375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  <w:rPr>
          <w:lang w:val="bg-BG"/>
          <w14:shadow w14:blurRad="0" w14:dist="0" w14:dir="0" w14:sx="0" w14:sy="0" w14:kx="0" w14:ky="0" w14:algn="none">
            <w14:srgbClr w14:val="000000"/>
          </w14:shadow>
        </w:rPr>
      </w:pPr>
      <w:r>
        <w:rPr>
          <w:lang w:val="bg-BG"/>
          <w14:shadow w14:blurRad="0" w14:dist="0" w14:dir="0" w14:sx="0" w14:sy="0" w14:kx="0" w14:ky="0" w14:algn="none">
            <w14:srgbClr w14:val="000000"/>
          </w14:shadow>
        </w:rPr>
        <w:t>ІІ</w:t>
      </w:r>
      <w:r w:rsidR="009355F9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І. </w:t>
      </w:r>
      <w:r w:rsidR="00CD6798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УКАЗАНИЯ ЗА </w:t>
      </w:r>
      <w:r w:rsidR="009355F9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 xml:space="preserve">ПОДГОТОВКА НА </w:t>
      </w:r>
      <w:r w:rsidR="00CD6798" w:rsidRPr="00A12722">
        <w:rPr>
          <w:lang w:val="bg-BG"/>
          <w14:shadow w14:blurRad="0" w14:dist="0" w14:dir="0" w14:sx="0" w14:sy="0" w14:kx="0" w14:ky="0" w14:algn="none">
            <w14:srgbClr w14:val="000000"/>
          </w14:shadow>
        </w:rPr>
        <w:t>ОФЕРТАТА</w:t>
      </w:r>
    </w:p>
    <w:p w:rsidR="00161E2B" w:rsidRPr="00A12722" w:rsidRDefault="00161E2B" w:rsidP="0026221C">
      <w:pPr>
        <w:pStyle w:val="2"/>
      </w:pPr>
      <w:r w:rsidRPr="00A12722">
        <w:t xml:space="preserve">1. Общи изисквания: </w:t>
      </w:r>
    </w:p>
    <w:p w:rsidR="005D6E5D" w:rsidRPr="004A654E" w:rsidRDefault="005D6E5D" w:rsidP="0026221C">
      <w:pPr>
        <w:spacing w:before="120" w:after="120"/>
        <w:ind w:firstLine="567"/>
        <w:jc w:val="both"/>
        <w:rPr>
          <w:b/>
        </w:rPr>
      </w:pPr>
      <w:r w:rsidRPr="00201F57">
        <w:rPr>
          <w:b/>
        </w:rPr>
        <w:t>1.1.</w:t>
      </w:r>
      <w:r w:rsidRPr="00201F57">
        <w:t xml:space="preserve"> За участие в процедурата, всеки участник следва да представи оферта, изготвена </w:t>
      </w:r>
      <w:r>
        <w:t xml:space="preserve">в съответствие с </w:t>
      </w:r>
      <w:r w:rsidRPr="00201F57">
        <w:t xml:space="preserve">условията </w:t>
      </w:r>
      <w:r>
        <w:t>на ЗОП</w:t>
      </w:r>
      <w:r w:rsidR="004D2576">
        <w:t xml:space="preserve"> и ППЗОП, както </w:t>
      </w:r>
      <w:r w:rsidRPr="00201F57">
        <w:t xml:space="preserve">и </w:t>
      </w:r>
      <w:r w:rsidR="004D2576">
        <w:t xml:space="preserve">с </w:t>
      </w:r>
      <w:r w:rsidRPr="00201F57">
        <w:t>изискванията на</w:t>
      </w:r>
      <w:r>
        <w:t xml:space="preserve"> възложителя, обективирани в обявлението и документацията за обществената поръчка. Условията и указанията, описани в о</w:t>
      </w:r>
      <w:r w:rsidRPr="00201F57">
        <w:t>бразци</w:t>
      </w:r>
      <w:r>
        <w:t>те, предоставени от възложителя,</w:t>
      </w:r>
      <w:r w:rsidRPr="00201F57">
        <w:t xml:space="preserve"> са задължителни за участниците. </w:t>
      </w:r>
    </w:p>
    <w:p w:rsidR="005D6E5D" w:rsidRDefault="005D6E5D" w:rsidP="0026221C">
      <w:pPr>
        <w:widowControl w:val="0"/>
        <w:tabs>
          <w:tab w:val="left" w:pos="420"/>
        </w:tabs>
        <w:autoSpaceDE w:val="0"/>
        <w:autoSpaceDN w:val="0"/>
        <w:adjustRightInd w:val="0"/>
        <w:spacing w:before="120" w:after="120"/>
        <w:ind w:firstLine="567"/>
        <w:jc w:val="both"/>
      </w:pPr>
      <w:r w:rsidRPr="00201F57">
        <w:rPr>
          <w:b/>
        </w:rPr>
        <w:t>1.2.</w:t>
      </w:r>
      <w:r w:rsidRPr="00201F57">
        <w:t xml:space="preserve"> </w:t>
      </w:r>
      <w:r>
        <w:t>Всички документи, съдържащи се в о</w:t>
      </w:r>
      <w:r w:rsidRPr="00201F57">
        <w:t>фертата</w:t>
      </w:r>
      <w:r>
        <w:t>,</w:t>
      </w:r>
      <w:r w:rsidRPr="00201F57">
        <w:t xml:space="preserve"> се  представят  на  български  език, без  корекции  и  поправки </w:t>
      </w:r>
      <w:r>
        <w:t xml:space="preserve">и </w:t>
      </w:r>
      <w:r w:rsidRPr="00201F57">
        <w:t>се подписва</w:t>
      </w:r>
      <w:r>
        <w:t>т</w:t>
      </w:r>
      <w:r w:rsidRPr="00201F57">
        <w:t xml:space="preserve"> от законно представляващия участника или от надлежно упълномощено/и лице/а</w:t>
      </w:r>
      <w:r>
        <w:t xml:space="preserve">. </w:t>
      </w:r>
      <w:r w:rsidRPr="00201F57">
        <w:t xml:space="preserve">Изискуемите документи, които обективират лично изявление на конкретно лице представляващо </w:t>
      </w:r>
      <w:r w:rsidR="00AB675F">
        <w:t>икономически оператор</w:t>
      </w:r>
      <w:r w:rsidRPr="00201F57">
        <w:t xml:space="preserve"> </w:t>
      </w:r>
      <w:r w:rsidR="004D2576">
        <w:t xml:space="preserve">се представят в оригинал </w:t>
      </w:r>
      <w:r w:rsidR="001D3F62">
        <w:t xml:space="preserve">и </w:t>
      </w:r>
      <w:r w:rsidRPr="00201F57">
        <w:t>не могат да се подписват и представят от пълномощник.</w:t>
      </w:r>
      <w:r>
        <w:t xml:space="preserve"> </w:t>
      </w:r>
      <w:r w:rsidR="006F25C7">
        <w:t>ЕЕДОП, т</w:t>
      </w:r>
      <w:r w:rsidR="004D2576">
        <w:t xml:space="preserve">ехническото и ценовото предложение се представят </w:t>
      </w:r>
      <w:r w:rsidR="006F25C7">
        <w:t xml:space="preserve">задължително </w:t>
      </w:r>
      <w:r w:rsidR="004D2576">
        <w:t xml:space="preserve">в оригинал. </w:t>
      </w:r>
      <w:r w:rsidRPr="00201F57">
        <w:t>Документи, изготвени на чужд език, следва да бъдат придру</w:t>
      </w:r>
      <w:r>
        <w:t>жени с превод на български език, а д</w:t>
      </w:r>
      <w:r w:rsidRPr="00201F57">
        <w:t>окументи за регистрация, издадени на чужд език се представят и в официален превод</w:t>
      </w:r>
      <w:r>
        <w:t>.</w:t>
      </w:r>
    </w:p>
    <w:p w:rsidR="00462F99" w:rsidRPr="00A12722" w:rsidRDefault="00161E2B" w:rsidP="0026221C">
      <w:pPr>
        <w:suppressAutoHyphens/>
        <w:autoSpaceDE w:val="0"/>
        <w:spacing w:before="120" w:after="120"/>
        <w:ind w:firstLine="567"/>
        <w:jc w:val="both"/>
        <w:rPr>
          <w:bCs/>
          <w:iCs/>
        </w:rPr>
      </w:pPr>
      <w:r w:rsidRPr="00A12722">
        <w:rPr>
          <w:b/>
        </w:rPr>
        <w:t>1.3.</w:t>
      </w:r>
      <w:r w:rsidRPr="00A12722">
        <w:t xml:space="preserve"> Когато се предвижда използването на подизпълнител/и</w:t>
      </w:r>
      <w:r w:rsidR="005D6E5D">
        <w:t xml:space="preserve"> </w:t>
      </w:r>
      <w:r w:rsidR="008157DD">
        <w:t xml:space="preserve">при </w:t>
      </w:r>
      <w:r w:rsidRPr="00A12722">
        <w:t xml:space="preserve">изпълнение на поръчката, </w:t>
      </w:r>
      <w:r w:rsidR="00462F99" w:rsidRPr="00A12722">
        <w:t xml:space="preserve">за </w:t>
      </w:r>
      <w:r w:rsidR="00462F99" w:rsidRPr="00A12722">
        <w:rPr>
          <w:rFonts w:eastAsia="Arial"/>
          <w:noProof/>
          <w:lang w:eastAsia="ar-SA"/>
        </w:rPr>
        <w:t xml:space="preserve">всеки </w:t>
      </w:r>
      <w:r w:rsidR="005D6E5D">
        <w:rPr>
          <w:rFonts w:eastAsia="Arial"/>
          <w:noProof/>
          <w:lang w:eastAsia="ar-SA"/>
        </w:rPr>
        <w:t>подизпълнител</w:t>
      </w:r>
      <w:r w:rsidR="00462F99" w:rsidRPr="00A12722">
        <w:rPr>
          <w:rFonts w:eastAsia="Arial"/>
          <w:noProof/>
          <w:lang w:eastAsia="ar-SA"/>
        </w:rPr>
        <w:t xml:space="preserve"> се представя надлежно попълнен и подписан ЕЕДОП, в който се посочва информацията, изисквана в Част ІІ, Раздел А и Раздел Б и Част III от документа. </w:t>
      </w:r>
    </w:p>
    <w:p w:rsidR="00462F99" w:rsidRPr="00A12722" w:rsidRDefault="00161E2B" w:rsidP="0026221C">
      <w:pPr>
        <w:spacing w:before="120" w:after="120"/>
        <w:ind w:firstLine="567"/>
        <w:jc w:val="both"/>
        <w:rPr>
          <w:rFonts w:eastAsia="Arial"/>
          <w:noProof/>
          <w:lang w:eastAsia="ar-SA"/>
        </w:rPr>
      </w:pPr>
      <w:r w:rsidRPr="00A12722">
        <w:rPr>
          <w:b/>
        </w:rPr>
        <w:t>1.4.</w:t>
      </w:r>
      <w:r w:rsidRPr="00A12722">
        <w:t xml:space="preserve"> При участници обединения, които не са юридически лица</w:t>
      </w:r>
      <w:r w:rsidR="00584778">
        <w:rPr>
          <w:lang w:val="en-US"/>
        </w:rPr>
        <w:t xml:space="preserve">, </w:t>
      </w:r>
      <w:r w:rsidR="00584778">
        <w:t>в</w:t>
      </w:r>
      <w:r w:rsidR="00462F99" w:rsidRPr="00A12722">
        <w:rPr>
          <w:rFonts w:eastAsia="Arial"/>
          <w:noProof/>
          <w:lang w:eastAsia="ar-SA"/>
        </w:rPr>
        <w:t>сяко лице, което е член на обединението, също представя надлежно попълнен и подписан ЕЕДОП, в който се посочва информацията, изисквана в Част ІІ, Раздел А и Раздел Б и Част III от документа.</w:t>
      </w:r>
    </w:p>
    <w:p w:rsidR="00161E2B" w:rsidRPr="00456F6D" w:rsidRDefault="00161E2B" w:rsidP="0026221C">
      <w:pPr>
        <w:ind w:firstLine="567"/>
        <w:jc w:val="both"/>
      </w:pPr>
      <w:r w:rsidRPr="00A12722">
        <w:rPr>
          <w:b/>
        </w:rPr>
        <w:t>1.5.</w:t>
      </w:r>
      <w:r w:rsidRPr="00A12722">
        <w:t xml:space="preserve"> Съгласно чл. 102, ал. 1 от ЗОП, участниците могат да посочат в офертите си информация, която смятат за конфиденциална във връзка с наличието на търговска тайна. В тези случаи  в офертата се прилага декларация за конфиденциалност и информацията няма да бъде разкривана от възложителя. </w:t>
      </w:r>
      <w:r w:rsidRPr="00456F6D">
        <w:t xml:space="preserve">Участниците следва да имат предвид, че не могат да се позовават на конфиденциалност по отношение на предложенията от офертите им, които подлежат на оценка. </w:t>
      </w:r>
    </w:p>
    <w:p w:rsidR="00161E2B" w:rsidRPr="009A05DD" w:rsidRDefault="00161E2B" w:rsidP="0026221C">
      <w:pPr>
        <w:spacing w:before="120" w:after="120"/>
        <w:ind w:firstLine="567"/>
        <w:jc w:val="both"/>
      </w:pPr>
      <w:r w:rsidRPr="00456F6D">
        <w:rPr>
          <w:b/>
        </w:rPr>
        <w:t xml:space="preserve">1.6. Срок на валидност: </w:t>
      </w:r>
      <w:r w:rsidR="00ED0714" w:rsidRPr="00456F6D">
        <w:t>Срокът на валидност на офертата</w:t>
      </w:r>
      <w:r w:rsidR="00ED0714" w:rsidRPr="00ED0714">
        <w:t xml:space="preserve"> е определен на 6 (шест) месеца от датата, която е посочена за дата на получаване на офертата, и представлява времето, през което участникът трябва да поддържа офертата си.</w:t>
      </w:r>
      <w:r w:rsidRPr="00A12722">
        <w:t xml:space="preserve"> При необходимост </w:t>
      </w:r>
      <w:r w:rsidRPr="00A12722">
        <w:lastRenderedPageBreak/>
        <w:t xml:space="preserve">възложителят може да поиска от участниците да потвърдят и удължат срокът на </w:t>
      </w:r>
      <w:r w:rsidRPr="009A05DD">
        <w:t>валидност на офертите си.</w:t>
      </w:r>
    </w:p>
    <w:p w:rsidR="00B7329E" w:rsidRPr="009A05DD" w:rsidRDefault="00B7329E" w:rsidP="0026221C">
      <w:pPr>
        <w:spacing w:before="120" w:after="120"/>
        <w:ind w:firstLine="567"/>
        <w:jc w:val="both"/>
        <w:rPr>
          <w:b/>
        </w:rPr>
      </w:pPr>
      <w:r w:rsidRPr="009A05DD">
        <w:rPr>
          <w:b/>
        </w:rPr>
        <w:t>2. Критерии за подбор:</w:t>
      </w:r>
    </w:p>
    <w:p w:rsidR="009036BF" w:rsidRPr="009A05DD" w:rsidRDefault="009036BF" w:rsidP="009036BF">
      <w:pPr>
        <w:ind w:firstLine="567"/>
        <w:jc w:val="both"/>
      </w:pPr>
      <w:r w:rsidRPr="009A05DD">
        <w:rPr>
          <w:b/>
        </w:rPr>
        <w:t>2.1.</w:t>
      </w:r>
      <w:r w:rsidRPr="009A05DD">
        <w:t xml:space="preserve"> Минимални изисквания за упражняване на професионална дейност.</w:t>
      </w:r>
    </w:p>
    <w:p w:rsidR="00165DCB" w:rsidRPr="009A05DD" w:rsidRDefault="00165DCB" w:rsidP="00165DCB">
      <w:pPr>
        <w:ind w:firstLine="567"/>
        <w:jc w:val="both"/>
      </w:pPr>
      <w:r w:rsidRPr="009A05DD">
        <w:t>Участникът (лицата, които ще извършват строителството) да има/т право да осъществява/т строителство на съответния вид строеж, предмет на обособената позиция. За целта е необходима регистрация за съответната категория строеж в Централния професионален регистър на строителя (ЦПРС) към Камарата на строителите в Република България или</w:t>
      </w:r>
      <w:r w:rsidR="00FE3F62">
        <w:t xml:space="preserve"> </w:t>
      </w:r>
      <w:r w:rsidRPr="009A05DD">
        <w:t>еквивалентна регистрация, съгласно съответното национално законодателството за чуждестранните лица.</w:t>
      </w:r>
    </w:p>
    <w:p w:rsidR="00165DCB" w:rsidRPr="009A05DD" w:rsidRDefault="00165DCB" w:rsidP="00165DCB">
      <w:pPr>
        <w:ind w:firstLine="567"/>
        <w:jc w:val="both"/>
        <w:rPr>
          <w:u w:val="single"/>
        </w:rPr>
      </w:pPr>
      <w:r w:rsidRPr="009A05DD">
        <w:rPr>
          <w:u w:val="single"/>
        </w:rPr>
        <w:t xml:space="preserve">Категории за отделните обекти (обособени позиции): </w:t>
      </w:r>
    </w:p>
    <w:p w:rsidR="00165DCB" w:rsidRPr="009A05DD" w:rsidRDefault="00165DCB" w:rsidP="00165DCB">
      <w:pPr>
        <w:ind w:firstLine="567"/>
        <w:jc w:val="both"/>
      </w:pPr>
      <w:r w:rsidRPr="009A05DD">
        <w:t>СОУ „Любен Каравелов“ сграда 1 – ІІІ категория съгласно ЗУТ или еквивалентна съгласно национално законодателството за чуждестранните лица;</w:t>
      </w:r>
    </w:p>
    <w:p w:rsidR="00994347" w:rsidRPr="009A05DD" w:rsidRDefault="00994347" w:rsidP="00165DCB">
      <w:pPr>
        <w:ind w:firstLine="567"/>
        <w:jc w:val="both"/>
      </w:pPr>
      <w:r w:rsidRPr="009A05DD">
        <w:t>СОУ „Любен Каравелов“ сграда 2 – ІV категория съгласно ЗУТ или еквивалентна съгласно национално законодателството за чуждестранните лица;</w:t>
      </w:r>
    </w:p>
    <w:p w:rsidR="00165DCB" w:rsidRPr="009A05DD" w:rsidRDefault="00165DCB" w:rsidP="00165DCB">
      <w:pPr>
        <w:ind w:firstLine="567"/>
        <w:jc w:val="both"/>
        <w:rPr>
          <w:i/>
          <w:u w:val="single"/>
        </w:rPr>
      </w:pPr>
      <w:r w:rsidRPr="009A05DD">
        <w:rPr>
          <w:i/>
          <w:u w:val="single"/>
        </w:rPr>
        <w:t>При участие за повече от едн</w:t>
      </w:r>
      <w:r w:rsidR="00994347" w:rsidRPr="009A05DD">
        <w:rPr>
          <w:i/>
          <w:u w:val="single"/>
        </w:rPr>
        <w:t>а</w:t>
      </w:r>
      <w:r w:rsidRPr="009A05DD">
        <w:rPr>
          <w:i/>
          <w:u w:val="single"/>
        </w:rPr>
        <w:t xml:space="preserve"> </w:t>
      </w:r>
      <w:r w:rsidR="00994347" w:rsidRPr="009A05DD">
        <w:rPr>
          <w:i/>
          <w:u w:val="single"/>
        </w:rPr>
        <w:t>обособена позиция</w:t>
      </w:r>
      <w:r w:rsidRPr="009A05DD">
        <w:rPr>
          <w:i/>
          <w:u w:val="single"/>
        </w:rPr>
        <w:t xml:space="preserve"> се изисква правоспособността да покрива по-високата категория строеж.</w:t>
      </w:r>
    </w:p>
    <w:p w:rsidR="009036BF" w:rsidRPr="009A05DD" w:rsidRDefault="009036BF" w:rsidP="009036BF">
      <w:pPr>
        <w:ind w:firstLine="567"/>
        <w:jc w:val="both"/>
      </w:pPr>
    </w:p>
    <w:p w:rsidR="009036BF" w:rsidRPr="009A05DD" w:rsidRDefault="009036BF" w:rsidP="009036BF">
      <w:pPr>
        <w:ind w:firstLine="567"/>
        <w:jc w:val="both"/>
      </w:pPr>
      <w:r w:rsidRPr="009A05DD">
        <w:t xml:space="preserve">За доказване на годността (правоспособността) за извършване на професионална дейност се попълва Част IV: Критерии за подбор, Раздел А: Годност от ЕЕДОП. </w:t>
      </w:r>
    </w:p>
    <w:p w:rsidR="009036BF" w:rsidRPr="009A05DD" w:rsidRDefault="00AE37B8" w:rsidP="009036BF">
      <w:pPr>
        <w:ind w:firstLine="567"/>
        <w:jc w:val="both"/>
      </w:pPr>
      <w:r w:rsidRPr="00AE37B8">
        <w:t xml:space="preserve">Документи за доказване се предоставят при условията </w:t>
      </w:r>
      <w:r>
        <w:t xml:space="preserve">на чл. 67, ал. 5 и ал. 6 от ЗОП. </w:t>
      </w:r>
      <w:r w:rsidR="009036BF" w:rsidRPr="009A05DD">
        <w:t>В тези случаи, изискването се доказва с представянето на:</w:t>
      </w:r>
    </w:p>
    <w:p w:rsidR="00AE37B8" w:rsidRPr="009A05DD" w:rsidRDefault="009036BF" w:rsidP="00AE37B8">
      <w:pPr>
        <w:ind w:firstLine="567"/>
        <w:jc w:val="both"/>
      </w:pPr>
      <w:r w:rsidRPr="009A05DD">
        <w:t xml:space="preserve">Копие от документа за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</w:t>
      </w:r>
      <w:r w:rsidR="00994347" w:rsidRPr="009A05DD">
        <w:t>съответната</w:t>
      </w:r>
      <w:r w:rsidR="00424301" w:rsidRPr="009A05DD">
        <w:t xml:space="preserve"> </w:t>
      </w:r>
      <w:r w:rsidRPr="009A05DD">
        <w:t>категория. За чуждестранни лица – аналогичен документ доказващ такава регистрация в аналогичен регистър, съгласно законодателството на д</w:t>
      </w:r>
      <w:r w:rsidR="00AE37B8">
        <w:t xml:space="preserve">ържавата, в която са установени, </w:t>
      </w:r>
      <w:r w:rsidR="00AE37B8" w:rsidRPr="00AE37B8">
        <w:t>но преди сключване на договор са длъжни да извършат всички необходими регистрации в Република България.</w:t>
      </w:r>
    </w:p>
    <w:p w:rsidR="003744F0" w:rsidRPr="009A05DD" w:rsidRDefault="003744F0" w:rsidP="003744F0">
      <w:pPr>
        <w:ind w:firstLine="567"/>
        <w:jc w:val="both"/>
      </w:pPr>
      <w:r w:rsidRPr="009A05DD">
        <w:rPr>
          <w:b/>
        </w:rPr>
        <w:t>2.2.</w:t>
      </w:r>
      <w:r w:rsidRPr="009A05DD">
        <w:t xml:space="preserve"> Минимални изисквания към икономическо и финансово състояние и доказателства за тях.</w:t>
      </w:r>
    </w:p>
    <w:p w:rsidR="00782A29" w:rsidRPr="009A05DD" w:rsidRDefault="00994347" w:rsidP="00994347">
      <w:pPr>
        <w:ind w:firstLine="567"/>
        <w:jc w:val="both"/>
      </w:pPr>
      <w:r w:rsidRPr="00994347">
        <w:t xml:space="preserve">Участникът </w:t>
      </w:r>
      <w:r w:rsidR="00B87A7A" w:rsidRPr="009A05DD">
        <w:t>трябва</w:t>
      </w:r>
      <w:r w:rsidRPr="009A05DD">
        <w:t xml:space="preserve"> през </w:t>
      </w:r>
      <w:r w:rsidRPr="00994347">
        <w:t>последните три приключили финансови години, в зависимост от датата, на която е създаден или е започнал дейността си</w:t>
      </w:r>
      <w:r w:rsidRPr="009A05DD">
        <w:t xml:space="preserve"> </w:t>
      </w:r>
      <w:r w:rsidRPr="00994347">
        <w:t>да е реализирал минимален общ оборот в размер</w:t>
      </w:r>
      <w:r w:rsidR="00782A29" w:rsidRPr="009A05DD">
        <w:t>,</w:t>
      </w:r>
      <w:r w:rsidRPr="009A05DD">
        <w:t xml:space="preserve"> </w:t>
      </w:r>
      <w:r w:rsidR="00782A29" w:rsidRPr="009A05DD">
        <w:t>както следва:</w:t>
      </w:r>
    </w:p>
    <w:p w:rsidR="00782A29" w:rsidRPr="009A05DD" w:rsidRDefault="00782A29" w:rsidP="004B0263">
      <w:pPr>
        <w:pStyle w:val="af5"/>
        <w:numPr>
          <w:ilvl w:val="0"/>
          <w:numId w:val="1"/>
        </w:numPr>
      </w:pPr>
      <w:r w:rsidRPr="009A05DD">
        <w:t xml:space="preserve">За обособена позиция №1 </w:t>
      </w:r>
      <w:r w:rsidRPr="009A05DD">
        <w:rPr>
          <w:b/>
        </w:rPr>
        <w:t>- 7 300 000 лв. без ДДС;</w:t>
      </w:r>
    </w:p>
    <w:p w:rsidR="00994347" w:rsidRPr="009A05DD" w:rsidRDefault="00782A29" w:rsidP="004B0263">
      <w:pPr>
        <w:pStyle w:val="af5"/>
        <w:numPr>
          <w:ilvl w:val="0"/>
          <w:numId w:val="1"/>
        </w:numPr>
      </w:pPr>
      <w:r w:rsidRPr="009A05DD">
        <w:t>За обособена позиция</w:t>
      </w:r>
      <w:r w:rsidR="000D273B" w:rsidRPr="009A05DD">
        <w:t xml:space="preserve"> №</w:t>
      </w:r>
      <w:r w:rsidRPr="009A05DD">
        <w:t>2</w:t>
      </w:r>
      <w:r w:rsidRPr="009A05DD">
        <w:rPr>
          <w:b/>
        </w:rPr>
        <w:t xml:space="preserve"> - 4 700 000 лв. без ДДС</w:t>
      </w:r>
      <w:r w:rsidR="00994347" w:rsidRPr="009A05DD">
        <w:t>.</w:t>
      </w:r>
    </w:p>
    <w:p w:rsidR="000D273B" w:rsidRPr="009A05DD" w:rsidRDefault="000D273B" w:rsidP="00B87A7A">
      <w:pPr>
        <w:ind w:firstLine="567"/>
        <w:jc w:val="both"/>
      </w:pPr>
      <w:r w:rsidRPr="009A05DD">
        <w:t xml:space="preserve">За доказване на икономическо и финансово състояние се попълва Част IV: Критерии за подбор, Раздел </w:t>
      </w:r>
      <w:r w:rsidR="00BC0751" w:rsidRPr="009A05DD">
        <w:t>Б</w:t>
      </w:r>
      <w:r w:rsidRPr="009A05DD">
        <w:t xml:space="preserve">: </w:t>
      </w:r>
      <w:r w:rsidR="00BC0751" w:rsidRPr="009A05DD">
        <w:t>Икономическо и финансово състояние</w:t>
      </w:r>
      <w:r w:rsidRPr="009A05DD">
        <w:t xml:space="preserve"> от ЕЕДОП. </w:t>
      </w:r>
    </w:p>
    <w:p w:rsidR="000D273B" w:rsidRPr="009A05DD" w:rsidRDefault="004D12CA" w:rsidP="000D273B">
      <w:pPr>
        <w:ind w:firstLine="567"/>
        <w:jc w:val="both"/>
      </w:pPr>
      <w:r w:rsidRPr="004D12CA">
        <w:t>Документи за доказване се предоставят при условията на чл. 67, ал. 5 и ал. 6 от ЗОП</w:t>
      </w:r>
      <w:r>
        <w:t>.</w:t>
      </w:r>
      <w:r w:rsidR="000D273B" w:rsidRPr="009A05DD">
        <w:t xml:space="preserve"> В тези случаи, изискването се доказва с представянето на</w:t>
      </w:r>
      <w:r w:rsidR="00B87A7A" w:rsidRPr="009A05DD">
        <w:t xml:space="preserve"> един или повече от документите посочени в чл. 62, ал. 1 от ЗОП.</w:t>
      </w:r>
    </w:p>
    <w:p w:rsidR="009036BF" w:rsidRPr="009A05DD" w:rsidRDefault="00B87A7A" w:rsidP="009036BF">
      <w:pPr>
        <w:ind w:firstLine="567"/>
        <w:jc w:val="both"/>
      </w:pPr>
      <w:r w:rsidRPr="009A05DD">
        <w:rPr>
          <w:b/>
        </w:rPr>
        <w:t>2.3</w:t>
      </w:r>
      <w:r w:rsidR="009036BF" w:rsidRPr="009A05DD">
        <w:rPr>
          <w:b/>
        </w:rPr>
        <w:t>.</w:t>
      </w:r>
      <w:r w:rsidR="009036BF" w:rsidRPr="009A05DD">
        <w:t xml:space="preserve"> Минимални изисквания за технически и професионални способности.</w:t>
      </w:r>
    </w:p>
    <w:p w:rsidR="009036BF" w:rsidRPr="009A05DD" w:rsidRDefault="009036BF" w:rsidP="009036BF">
      <w:pPr>
        <w:ind w:firstLine="567"/>
        <w:jc w:val="both"/>
      </w:pPr>
      <w:r w:rsidRPr="009A05DD">
        <w:t xml:space="preserve">Участникът трябва през последните 5 (пет) години, считано от датата на подаване на офертата да е изпълнил успешно минимум 1 </w:t>
      </w:r>
      <w:r w:rsidR="00EE5DE9" w:rsidRPr="009A05DD">
        <w:t>строеж</w:t>
      </w:r>
      <w:r w:rsidRPr="009A05DD">
        <w:t xml:space="preserve"> идентичен или сходен с предмета на </w:t>
      </w:r>
      <w:r w:rsidR="00EE5DE9" w:rsidRPr="009A05DD">
        <w:t>обособената позиция</w:t>
      </w:r>
      <w:r w:rsidR="00FE3F62">
        <w:t>.</w:t>
      </w:r>
    </w:p>
    <w:p w:rsidR="00EE5DE9" w:rsidRPr="009A05DD" w:rsidRDefault="009036BF" w:rsidP="009036BF">
      <w:pPr>
        <w:ind w:firstLine="567"/>
        <w:jc w:val="both"/>
      </w:pPr>
      <w:r w:rsidRPr="009A05DD">
        <w:lastRenderedPageBreak/>
        <w:t>За „</w:t>
      </w:r>
      <w:r w:rsidR="00EE5DE9" w:rsidRPr="009A05DD">
        <w:t>строеж</w:t>
      </w:r>
      <w:r w:rsidRPr="009A05DD">
        <w:t xml:space="preserve">, идентичен или сходен с предмета на </w:t>
      </w:r>
      <w:r w:rsidR="00EE5DE9" w:rsidRPr="009A05DD">
        <w:t>обособената позиция</w:t>
      </w:r>
      <w:r w:rsidRPr="009A05DD">
        <w:t xml:space="preserve">”, възложителят ще приема: </w:t>
      </w:r>
    </w:p>
    <w:p w:rsidR="009036BF" w:rsidRPr="00C7085E" w:rsidRDefault="00EE5DE9" w:rsidP="004B0263">
      <w:pPr>
        <w:pStyle w:val="af5"/>
        <w:numPr>
          <w:ilvl w:val="0"/>
          <w:numId w:val="1"/>
        </w:numPr>
        <w:ind w:left="0" w:firstLine="567"/>
      </w:pPr>
      <w:r w:rsidRPr="009A05DD">
        <w:t xml:space="preserve">За обособена позиция №1 – сграда за обществено обслужване с разгъната застроена площ над 5000 кв. м или с капацитет от 200 до 1000 места. Дейностите </w:t>
      </w:r>
      <w:r w:rsidRPr="00C7085E">
        <w:t>изпълнени на строежа следва да включва</w:t>
      </w:r>
      <w:r w:rsidR="00CC5512" w:rsidRPr="00C7085E">
        <w:t>т</w:t>
      </w:r>
      <w:r w:rsidRPr="00C7085E">
        <w:t>: основен ремонт и/или реконструкция</w:t>
      </w:r>
      <w:r w:rsidR="00CC5512" w:rsidRPr="00C7085E">
        <w:t xml:space="preserve">, </w:t>
      </w:r>
      <w:r w:rsidR="0033756C" w:rsidRPr="00C7085E">
        <w:t xml:space="preserve">както и </w:t>
      </w:r>
      <w:r w:rsidR="00CC5512" w:rsidRPr="00C7085E">
        <w:t>конструктивно укрепване</w:t>
      </w:r>
      <w:r w:rsidR="0033756C" w:rsidRPr="00C7085E">
        <w:t>,</w:t>
      </w:r>
      <w:r w:rsidRPr="00C7085E">
        <w:t xml:space="preserve"> внедряване на мерки за енергийна ефективност и изграждане на многофункционална </w:t>
      </w:r>
      <w:r w:rsidR="0033756C" w:rsidRPr="00C7085E">
        <w:t xml:space="preserve">спортна </w:t>
      </w:r>
      <w:r w:rsidRPr="00C7085E">
        <w:t>зала</w:t>
      </w:r>
      <w:r w:rsidR="0033756C" w:rsidRPr="00C7085E">
        <w:t xml:space="preserve"> с РЗП не по-малко от 2400 кв. м. </w:t>
      </w:r>
      <w:r w:rsidR="009036BF" w:rsidRPr="00C7085E">
        <w:t xml:space="preserve"> </w:t>
      </w:r>
    </w:p>
    <w:p w:rsidR="0033756C" w:rsidRPr="00C7085E" w:rsidRDefault="0033756C" w:rsidP="004B0263">
      <w:pPr>
        <w:pStyle w:val="af5"/>
        <w:numPr>
          <w:ilvl w:val="0"/>
          <w:numId w:val="1"/>
        </w:numPr>
        <w:ind w:left="0" w:firstLine="567"/>
      </w:pPr>
      <w:r w:rsidRPr="00C7085E">
        <w:t>За обособена позиция №2 – сграда за обществено обслужване с разгъната застроена площ от 1000 до 5000 кв. м включително или с капацитет от 100 до 200 места включително за посетители. Дейностите изпълнени на строежа следва да включват: основен ремонт и/или реконструкция, както и конструктивно укрепване и внедряване на мерки за енергийна ефективност.</w:t>
      </w:r>
    </w:p>
    <w:p w:rsidR="0033756C" w:rsidRDefault="0033756C" w:rsidP="009A05DD">
      <w:pPr>
        <w:ind w:firstLine="567"/>
        <w:jc w:val="both"/>
        <w:rPr>
          <w:i/>
          <w:u w:val="single"/>
        </w:rPr>
      </w:pPr>
      <w:r w:rsidRPr="009A05DD">
        <w:rPr>
          <w:i/>
          <w:u w:val="single"/>
        </w:rPr>
        <w:t xml:space="preserve">При участие за повече от една обособена позиция </w:t>
      </w:r>
      <w:r w:rsidRPr="009A05DD">
        <w:rPr>
          <w:i/>
          <w:iCs/>
          <w:u w:val="single"/>
        </w:rPr>
        <w:t xml:space="preserve">изискването </w:t>
      </w:r>
      <w:r w:rsidR="009A05DD" w:rsidRPr="009A05DD">
        <w:rPr>
          <w:i/>
          <w:iCs/>
          <w:u w:val="single"/>
        </w:rPr>
        <w:t>за минимални технически и професионални способности</w:t>
      </w:r>
      <w:r w:rsidRPr="009A05DD">
        <w:rPr>
          <w:i/>
          <w:iCs/>
          <w:u w:val="single"/>
        </w:rPr>
        <w:t xml:space="preserve"> ще се счита за изпълнено, ако участникът покрива </w:t>
      </w:r>
      <w:r w:rsidR="009A05DD" w:rsidRPr="009A05DD">
        <w:rPr>
          <w:i/>
          <w:iCs/>
          <w:u w:val="single"/>
        </w:rPr>
        <w:t>изисквания</w:t>
      </w:r>
      <w:r w:rsidR="00A65112">
        <w:rPr>
          <w:i/>
          <w:iCs/>
          <w:u w:val="single"/>
        </w:rPr>
        <w:t>та за обособена позиция №1</w:t>
      </w:r>
      <w:r w:rsidRPr="009A05DD">
        <w:rPr>
          <w:i/>
          <w:u w:val="single"/>
        </w:rPr>
        <w:t>.</w:t>
      </w:r>
    </w:p>
    <w:p w:rsidR="00C43A8F" w:rsidRPr="009A05DD" w:rsidRDefault="00C43A8F" w:rsidP="009A05DD">
      <w:pPr>
        <w:ind w:firstLine="567"/>
        <w:jc w:val="both"/>
      </w:pPr>
      <w:r w:rsidRPr="000878EB">
        <w:rPr>
          <w:i/>
          <w:u w:val="single"/>
        </w:rPr>
        <w:t>Допустимо е дейностите по ремонт на съществуваща сграда и по изграждане на многофункционална спортна зала по обособена позиция №1, да не са изпълнявани на един обект/строеж</w:t>
      </w:r>
      <w:r w:rsidR="000878EB">
        <w:rPr>
          <w:i/>
          <w:u w:val="single"/>
        </w:rPr>
        <w:t>.</w:t>
      </w:r>
    </w:p>
    <w:p w:rsidR="009036BF" w:rsidRPr="009A05DD" w:rsidRDefault="009036BF" w:rsidP="009036BF">
      <w:pPr>
        <w:ind w:firstLine="567"/>
        <w:jc w:val="both"/>
      </w:pPr>
      <w:r w:rsidRPr="009A05DD">
        <w:t>За доказване на техническите и професионалните способности се попълва Част IV: Критерии за подбор, Раздел В: Технически и</w:t>
      </w:r>
      <w:r w:rsidR="0033756C" w:rsidRPr="009A05DD">
        <w:t xml:space="preserve"> професионални способности </w:t>
      </w:r>
      <w:r w:rsidRPr="009A05DD">
        <w:t>от ЕЕДОП</w:t>
      </w:r>
      <w:r w:rsidR="000878EB">
        <w:t xml:space="preserve">, като се </w:t>
      </w:r>
      <w:r w:rsidR="000878EB" w:rsidRPr="00510B61">
        <w:t>посочва най-малко следната информация за всеки изпълнен строеж: възложител на строителството; период на изпълнение; вид на строежа; описание на и</w:t>
      </w:r>
      <w:r w:rsidR="000878EB">
        <w:t>зпълнените строителни дейности</w:t>
      </w:r>
      <w:r w:rsidRPr="009A05DD">
        <w:t xml:space="preserve">. </w:t>
      </w:r>
    </w:p>
    <w:p w:rsidR="009036BF" w:rsidRPr="009A05DD" w:rsidRDefault="004D12CA" w:rsidP="009036BF">
      <w:pPr>
        <w:ind w:firstLine="567"/>
        <w:jc w:val="both"/>
      </w:pPr>
      <w:r w:rsidRPr="00F67B84">
        <w:t>Документи за доказване се предоставят при условията на чл. 67, ал. 5 и ал. 6 от ЗОП</w:t>
      </w:r>
      <w:r>
        <w:t xml:space="preserve">. </w:t>
      </w:r>
      <w:r w:rsidR="009036BF" w:rsidRPr="009A05DD">
        <w:t>В тези случаи, изискването се доказва с представянето на:</w:t>
      </w:r>
    </w:p>
    <w:p w:rsidR="009036BF" w:rsidRPr="009A05DD" w:rsidRDefault="009036BF" w:rsidP="009036BF">
      <w:pPr>
        <w:ind w:firstLine="567"/>
        <w:jc w:val="both"/>
      </w:pPr>
      <w:r w:rsidRPr="009A05DD">
        <w:t>Списък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 строителство, както и дали е изпълнено в съответствие с нормативните изисквания.</w:t>
      </w:r>
    </w:p>
    <w:p w:rsidR="009036BF" w:rsidRPr="009A05DD" w:rsidRDefault="009036BF" w:rsidP="009036BF">
      <w:pPr>
        <w:ind w:firstLine="567"/>
        <w:jc w:val="both"/>
      </w:pPr>
      <w:r w:rsidRPr="009A05DD">
        <w:t>Строителството се счита за изпълнено, когато има съставен и подписан акт/протокол или друг документ за предаване на строежа на Възложителя.</w:t>
      </w:r>
    </w:p>
    <w:p w:rsidR="00DE7476" w:rsidRPr="00A12722" w:rsidRDefault="00AC2D99" w:rsidP="0026221C">
      <w:pPr>
        <w:pStyle w:val="2"/>
      </w:pPr>
      <w:r>
        <w:t>3</w:t>
      </w:r>
      <w:r w:rsidR="00DE7476" w:rsidRPr="009A05DD">
        <w:t>. Съдържание:</w:t>
      </w:r>
      <w:r w:rsidR="00DE7476" w:rsidRPr="00A12722">
        <w:t xml:space="preserve"> </w:t>
      </w:r>
    </w:p>
    <w:p w:rsidR="00DE7476" w:rsidRPr="00A12722" w:rsidRDefault="00DE7476" w:rsidP="0026221C">
      <w:pPr>
        <w:spacing w:before="120" w:after="120"/>
        <w:ind w:firstLine="567"/>
        <w:jc w:val="both"/>
      </w:pPr>
      <w:r w:rsidRPr="00A12722">
        <w:t xml:space="preserve">За участие в настоящата процедура следва да бъде подготвена оферта, съдържаща </w:t>
      </w:r>
      <w:r w:rsidR="00EB564C" w:rsidRPr="00A12722">
        <w:t xml:space="preserve">най-малко </w:t>
      </w:r>
      <w:r w:rsidRPr="00A12722">
        <w:t>следните документи и информация:</w:t>
      </w:r>
    </w:p>
    <w:p w:rsidR="00DE7476" w:rsidRPr="00456F6D" w:rsidRDefault="00AC2D99" w:rsidP="0026221C">
      <w:pPr>
        <w:spacing w:before="120" w:after="120"/>
        <w:ind w:firstLine="567"/>
        <w:jc w:val="both"/>
        <w:rPr>
          <w:b/>
          <w:bCs/>
        </w:rPr>
      </w:pPr>
      <w:r>
        <w:rPr>
          <w:b/>
        </w:rPr>
        <w:t>3</w:t>
      </w:r>
      <w:r w:rsidR="00DE7476" w:rsidRPr="00456F6D">
        <w:rPr>
          <w:b/>
        </w:rPr>
        <w:t>.1.</w:t>
      </w:r>
      <w:r w:rsidR="00DE7476" w:rsidRPr="00456F6D">
        <w:t xml:space="preserve"> </w:t>
      </w:r>
      <w:r w:rsidR="00FA33EC" w:rsidRPr="00456F6D">
        <w:rPr>
          <w:b/>
          <w:bCs/>
        </w:rPr>
        <w:t xml:space="preserve">Опис </w:t>
      </w:r>
      <w:r w:rsidR="00DE7476" w:rsidRPr="00456F6D">
        <w:rPr>
          <w:bCs/>
        </w:rPr>
        <w:t xml:space="preserve">на </w:t>
      </w:r>
      <w:r w:rsidR="00FA33EC" w:rsidRPr="00456F6D">
        <w:rPr>
          <w:bCs/>
        </w:rPr>
        <w:t xml:space="preserve">представените </w:t>
      </w:r>
      <w:r w:rsidR="00DE7476" w:rsidRPr="00456F6D">
        <w:rPr>
          <w:bCs/>
        </w:rPr>
        <w:t>документи</w:t>
      </w:r>
      <w:r w:rsidR="00FA33EC" w:rsidRPr="00456F6D">
        <w:rPr>
          <w:bCs/>
        </w:rPr>
        <w:t>;</w:t>
      </w:r>
    </w:p>
    <w:p w:rsidR="00AD7CBC" w:rsidRPr="00456F6D" w:rsidRDefault="00AC2D99" w:rsidP="0026221C">
      <w:pPr>
        <w:spacing w:before="120" w:after="120"/>
        <w:ind w:firstLine="567"/>
        <w:jc w:val="both"/>
        <w:rPr>
          <w:b/>
        </w:rPr>
      </w:pPr>
      <w:r>
        <w:rPr>
          <w:b/>
          <w:bCs/>
        </w:rPr>
        <w:t>3</w:t>
      </w:r>
      <w:r w:rsidR="00AD7CBC" w:rsidRPr="00456F6D">
        <w:rPr>
          <w:b/>
          <w:bCs/>
        </w:rPr>
        <w:t xml:space="preserve">.2. Единен европейски документ за обществени поръчки (ЕЕДОП),  </w:t>
      </w:r>
      <w:r w:rsidR="00AD7CBC" w:rsidRPr="00456F6D">
        <w:rPr>
          <w:bCs/>
        </w:rPr>
        <w:t xml:space="preserve">който се представя от всеки икономически оператор (участник, подизпълнител, член на обединение) и се подписва от всички задължени лица по чл. </w:t>
      </w:r>
      <w:r w:rsidR="00AD7CBC" w:rsidRPr="00456F6D">
        <w:t xml:space="preserve">40 от ППЗОП. ЕЕДОП задължително се представя в </w:t>
      </w:r>
      <w:r w:rsidR="00D01210">
        <w:t>електронен вид</w:t>
      </w:r>
      <w:r w:rsidR="0005521A">
        <w:t>.</w:t>
      </w:r>
      <w:r w:rsidR="000D484D" w:rsidRPr="00456F6D">
        <w:t xml:space="preserve"> </w:t>
      </w:r>
    </w:p>
    <w:p w:rsidR="00DE7476" w:rsidRPr="00456F6D" w:rsidRDefault="00AC2D99" w:rsidP="0026221C">
      <w:pPr>
        <w:spacing w:before="120" w:after="120"/>
        <w:ind w:firstLine="567"/>
        <w:jc w:val="both"/>
      </w:pPr>
      <w:r>
        <w:rPr>
          <w:b/>
        </w:rPr>
        <w:t>3</w:t>
      </w:r>
      <w:r w:rsidR="00D769FA" w:rsidRPr="00456F6D">
        <w:rPr>
          <w:b/>
        </w:rPr>
        <w:t>.</w:t>
      </w:r>
      <w:r w:rsidR="00661487" w:rsidRPr="00456F6D">
        <w:rPr>
          <w:b/>
        </w:rPr>
        <w:t>3</w:t>
      </w:r>
      <w:r w:rsidR="00D769FA" w:rsidRPr="00456F6D">
        <w:rPr>
          <w:b/>
        </w:rPr>
        <w:t>. Техническо предложение</w:t>
      </w:r>
      <w:r w:rsidR="00ED0714" w:rsidRPr="00456F6D">
        <w:rPr>
          <w:b/>
        </w:rPr>
        <w:t xml:space="preserve"> </w:t>
      </w:r>
      <w:r w:rsidR="00D769FA" w:rsidRPr="00456F6D">
        <w:rPr>
          <w:b/>
        </w:rPr>
        <w:t xml:space="preserve">– </w:t>
      </w:r>
      <w:r w:rsidR="00D769FA" w:rsidRPr="00456F6D">
        <w:t>документа се изготвя по образ</w:t>
      </w:r>
      <w:r w:rsidR="00454E60" w:rsidRPr="00456F6D">
        <w:t>е</w:t>
      </w:r>
      <w:r w:rsidR="00D769FA" w:rsidRPr="00456F6D">
        <w:t>ц</w:t>
      </w:r>
      <w:r w:rsidR="007C0BE1" w:rsidRPr="007C0BE1">
        <w:t>а</w:t>
      </w:r>
      <w:r w:rsidR="00C0318B" w:rsidRPr="007C0BE1">
        <w:t>,</w:t>
      </w:r>
      <w:r w:rsidR="00C0318B" w:rsidRPr="00456F6D">
        <w:t xml:space="preserve"> който е предоставен към докумен</w:t>
      </w:r>
      <w:r w:rsidR="00640093" w:rsidRPr="00456F6D">
        <w:t>тацията за обществената поръчка и се представя задължително в оригинал.</w:t>
      </w:r>
      <w:r w:rsidR="00C0318B" w:rsidRPr="00456F6D">
        <w:t xml:space="preserve"> </w:t>
      </w:r>
      <w:r w:rsidR="00454E60" w:rsidRPr="00456F6D">
        <w:rPr>
          <w:b/>
        </w:rPr>
        <w:t xml:space="preserve"> </w:t>
      </w:r>
      <w:r w:rsidR="009767DE" w:rsidRPr="00456F6D">
        <w:t>К</w:t>
      </w:r>
      <w:r w:rsidR="00D769FA" w:rsidRPr="00456F6D">
        <w:t xml:space="preserve">огато е приложимо към </w:t>
      </w:r>
      <w:r w:rsidR="009767DE" w:rsidRPr="00456F6D">
        <w:t>техническото предложение</w:t>
      </w:r>
      <w:r w:rsidR="00D769FA" w:rsidRPr="00456F6D">
        <w:t xml:space="preserve"> се прилага документ за упълномощаване, когато лицето, което подава офертата, не е законн</w:t>
      </w:r>
      <w:r w:rsidR="00661487" w:rsidRPr="00456F6D">
        <w:t xml:space="preserve">ият представител на участника. </w:t>
      </w:r>
    </w:p>
    <w:p w:rsidR="00661487" w:rsidRDefault="00AC2D99" w:rsidP="0026221C">
      <w:pPr>
        <w:spacing w:before="120" w:after="120"/>
        <w:ind w:firstLine="567"/>
        <w:jc w:val="both"/>
      </w:pPr>
      <w:r>
        <w:rPr>
          <w:b/>
        </w:rPr>
        <w:lastRenderedPageBreak/>
        <w:t>3</w:t>
      </w:r>
      <w:r w:rsidR="00454E60" w:rsidRPr="00456F6D">
        <w:rPr>
          <w:b/>
        </w:rPr>
        <w:t>.</w:t>
      </w:r>
      <w:r w:rsidR="00661487" w:rsidRPr="00456F6D">
        <w:rPr>
          <w:b/>
        </w:rPr>
        <w:t>4</w:t>
      </w:r>
      <w:r w:rsidR="00D769FA" w:rsidRPr="00456F6D">
        <w:rPr>
          <w:b/>
        </w:rPr>
        <w:t>. Ценово предложение</w:t>
      </w:r>
      <w:r w:rsidR="00ED0714" w:rsidRPr="00456F6D">
        <w:rPr>
          <w:b/>
        </w:rPr>
        <w:t xml:space="preserve"> </w:t>
      </w:r>
      <w:r w:rsidR="00D769FA" w:rsidRPr="00456F6D">
        <w:t xml:space="preserve">– </w:t>
      </w:r>
      <w:r w:rsidR="00454E60" w:rsidRPr="00456F6D">
        <w:t xml:space="preserve">документа се изготвя </w:t>
      </w:r>
      <w:r w:rsidR="00C0318B" w:rsidRPr="00456F6D">
        <w:t xml:space="preserve">по </w:t>
      </w:r>
      <w:r w:rsidR="00C0318B" w:rsidRPr="007C0BE1">
        <w:t>образец</w:t>
      </w:r>
      <w:r w:rsidR="007C0BE1" w:rsidRPr="007C0BE1">
        <w:t>а</w:t>
      </w:r>
      <w:r w:rsidR="00C0318B" w:rsidRPr="007C0BE1">
        <w:t>, който</w:t>
      </w:r>
      <w:r w:rsidR="00C0318B" w:rsidRPr="00456F6D">
        <w:t xml:space="preserve"> е предоставен към документ</w:t>
      </w:r>
      <w:r w:rsidR="00640093" w:rsidRPr="00456F6D">
        <w:t>ацията за обществената поръчка и се представя задължително в оригинал.</w:t>
      </w:r>
      <w:r w:rsidR="002121B3">
        <w:t xml:space="preserve"> </w:t>
      </w:r>
    </w:p>
    <w:p w:rsidR="00661487" w:rsidRPr="00661487" w:rsidRDefault="00AC2D99" w:rsidP="0026221C">
      <w:pPr>
        <w:pStyle w:val="32"/>
        <w:spacing w:before="0" w:after="0"/>
        <w:rPr>
          <w:b w:val="0"/>
        </w:rPr>
      </w:pPr>
      <w:r>
        <w:t>3</w:t>
      </w:r>
      <w:r w:rsidR="00661487" w:rsidRPr="00FA33EC">
        <w:t>.</w:t>
      </w:r>
      <w:r w:rsidR="00661487">
        <w:t>5</w:t>
      </w:r>
      <w:r w:rsidR="00661487" w:rsidRPr="00FA33EC">
        <w:t>.</w:t>
      </w:r>
      <w:r w:rsidR="00661487">
        <w:t xml:space="preserve"> </w:t>
      </w:r>
      <w:r w:rsidR="00661487" w:rsidRPr="00584778">
        <w:rPr>
          <w:b w:val="0"/>
        </w:rPr>
        <w:t>Ког</w:t>
      </w:r>
      <w:r w:rsidR="00584778" w:rsidRPr="00584778">
        <w:rPr>
          <w:b w:val="0"/>
        </w:rPr>
        <w:t>ато е приложимо се представят и</w:t>
      </w:r>
      <w:r w:rsidR="00584778">
        <w:t xml:space="preserve"> </w:t>
      </w:r>
      <w:r w:rsidR="00584778" w:rsidRPr="00584778">
        <w:t>д</w:t>
      </w:r>
      <w:r w:rsidR="00661487" w:rsidRPr="00584778">
        <w:t>окументи за доказване на предприетите мерки за надеждност</w:t>
      </w:r>
      <w:r w:rsidR="00661487" w:rsidRPr="00661487">
        <w:rPr>
          <w:b w:val="0"/>
        </w:rPr>
        <w:t xml:space="preserve">; </w:t>
      </w:r>
    </w:p>
    <w:p w:rsidR="002B4CC1" w:rsidRPr="00661487" w:rsidRDefault="00AC2D99" w:rsidP="0026221C">
      <w:pPr>
        <w:pStyle w:val="32"/>
      </w:pPr>
      <w:r>
        <w:t>4</w:t>
      </w:r>
      <w:r w:rsidR="002B4CC1" w:rsidRPr="00661487">
        <w:t>. Комплект</w:t>
      </w:r>
      <w:r w:rsidR="00FA23B8" w:rsidRPr="00661487">
        <w:t>у</w:t>
      </w:r>
      <w:r w:rsidR="002B4CC1" w:rsidRPr="00661487">
        <w:t>ване и представяне:</w:t>
      </w:r>
    </w:p>
    <w:p w:rsidR="00437DBC" w:rsidRPr="002E42A7" w:rsidRDefault="00AC2D99" w:rsidP="0026221C">
      <w:pPr>
        <w:spacing w:before="120" w:after="120"/>
        <w:ind w:firstLine="567"/>
        <w:jc w:val="both"/>
      </w:pPr>
      <w:r>
        <w:rPr>
          <w:b/>
        </w:rPr>
        <w:t>4</w:t>
      </w:r>
      <w:r w:rsidR="002B4CC1" w:rsidRPr="00A12722">
        <w:rPr>
          <w:b/>
        </w:rPr>
        <w:t>.1.</w:t>
      </w:r>
      <w:r w:rsidR="002B4CC1" w:rsidRPr="00A12722">
        <w:t xml:space="preserve"> Съгласно чл. </w:t>
      </w:r>
      <w:r w:rsidR="00D96C61" w:rsidRPr="00A12722">
        <w:t>4</w:t>
      </w:r>
      <w:r w:rsidR="002B4CC1" w:rsidRPr="00A12722">
        <w:t xml:space="preserve">7 от </w:t>
      </w:r>
      <w:r w:rsidR="00D96C61" w:rsidRPr="00A12722">
        <w:t>ПП</w:t>
      </w:r>
      <w:r w:rsidR="002B4CC1" w:rsidRPr="00A12722">
        <w:t>ЗОП, офертата се представя в запечатан</w:t>
      </w:r>
      <w:r w:rsidR="00D96C61" w:rsidRPr="00A12722">
        <w:t>а</w:t>
      </w:r>
      <w:r w:rsidR="002B4CC1" w:rsidRPr="00A12722">
        <w:t xml:space="preserve"> непрозрачн</w:t>
      </w:r>
      <w:r w:rsidR="00D96C61" w:rsidRPr="00A12722">
        <w:t>а</w:t>
      </w:r>
      <w:r w:rsidR="002B4CC1" w:rsidRPr="00A12722">
        <w:t xml:space="preserve"> </w:t>
      </w:r>
      <w:r w:rsidR="00D96C61" w:rsidRPr="00A12722">
        <w:t>опаковка</w:t>
      </w:r>
      <w:r w:rsidR="002B4CC1" w:rsidRPr="00A12722">
        <w:t xml:space="preserve">, </w:t>
      </w:r>
      <w:r w:rsidR="00D96C61" w:rsidRPr="00A12722">
        <w:t xml:space="preserve">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 в обявлението за обществена поръчка. </w:t>
      </w:r>
      <w:r w:rsidR="002B4CC1" w:rsidRPr="002E42A7">
        <w:t xml:space="preserve">Върху </w:t>
      </w:r>
      <w:r w:rsidR="00D96C61" w:rsidRPr="002E42A7">
        <w:t>опаковката се посочват: наименованието на участника, включително участниците в обединението, когато е приложимо; адрес за кореспонденция, телефон</w:t>
      </w:r>
      <w:r w:rsidR="00C0318B" w:rsidRPr="002E42A7">
        <w:t>,</w:t>
      </w:r>
      <w:r w:rsidR="00D96C61" w:rsidRPr="002E42A7">
        <w:t xml:space="preserve"> </w:t>
      </w:r>
      <w:r w:rsidR="00475D36" w:rsidRPr="002E42A7">
        <w:t xml:space="preserve">електронен адрес и </w:t>
      </w:r>
      <w:r w:rsidR="00C0318B" w:rsidRPr="002E42A7">
        <w:t xml:space="preserve">по възможност </w:t>
      </w:r>
      <w:r w:rsidR="00D96C61" w:rsidRPr="002E42A7">
        <w:t>факс</w:t>
      </w:r>
      <w:r w:rsidR="00F80B72" w:rsidRPr="002E42A7">
        <w:t>;</w:t>
      </w:r>
      <w:r w:rsidR="00D96C61" w:rsidRPr="002E42A7">
        <w:t xml:space="preserve"> </w:t>
      </w:r>
      <w:r w:rsidR="00B80C90" w:rsidRPr="002E42A7">
        <w:t>наименованието на обществената поръчката</w:t>
      </w:r>
      <w:r w:rsidR="00965F4F" w:rsidRPr="002E42A7">
        <w:t xml:space="preserve"> и обособен</w:t>
      </w:r>
      <w:r w:rsidR="00C43A8F">
        <w:t>а</w:t>
      </w:r>
      <w:r w:rsidR="00965F4F" w:rsidRPr="002E42A7">
        <w:t>т</w:t>
      </w:r>
      <w:r w:rsidR="00C43A8F">
        <w:t>а</w:t>
      </w:r>
      <w:r w:rsidR="00965F4F" w:rsidRPr="002E42A7">
        <w:t xml:space="preserve"> позици</w:t>
      </w:r>
      <w:r w:rsidR="00C43A8F">
        <w:t>я</w:t>
      </w:r>
      <w:r w:rsidR="00965F4F" w:rsidRPr="002E42A7">
        <w:t>, за ко</w:t>
      </w:r>
      <w:r w:rsidR="00C43A8F">
        <w:t>я</w:t>
      </w:r>
      <w:r w:rsidR="00965F4F" w:rsidRPr="002E42A7">
        <w:t>то се подават документите</w:t>
      </w:r>
      <w:r w:rsidR="002E42A7">
        <w:t>.</w:t>
      </w:r>
    </w:p>
    <w:p w:rsidR="00D96C61" w:rsidRPr="00456F6D" w:rsidRDefault="00AC2D99" w:rsidP="0026221C">
      <w:pPr>
        <w:spacing w:before="120" w:after="120"/>
        <w:ind w:firstLine="567"/>
        <w:jc w:val="both"/>
        <w:rPr>
          <w:b/>
        </w:rPr>
      </w:pPr>
      <w:r>
        <w:rPr>
          <w:b/>
        </w:rPr>
        <w:t>4</w:t>
      </w:r>
      <w:r w:rsidR="00D96C61" w:rsidRPr="00456F6D">
        <w:rPr>
          <w:b/>
        </w:rPr>
        <w:t>.</w:t>
      </w:r>
      <w:r w:rsidR="00FA23B8" w:rsidRPr="00456F6D">
        <w:rPr>
          <w:b/>
        </w:rPr>
        <w:t>2</w:t>
      </w:r>
      <w:r w:rsidR="00D96C61" w:rsidRPr="00456F6D">
        <w:rPr>
          <w:b/>
        </w:rPr>
        <w:t>.</w:t>
      </w:r>
      <w:r w:rsidR="00D96C61" w:rsidRPr="00456F6D">
        <w:t xml:space="preserve"> </w:t>
      </w:r>
      <w:r w:rsidR="00676375" w:rsidRPr="00676375">
        <w:rPr>
          <w:bCs/>
        </w:rPr>
        <w:t>Когато участник подава оферта за повече от една обособена позиция, се представя един набор от документите посочени в чл. 39, ал. 2 от ППЗОП и опис на представените документи, а за всяка от позициите се представят отделно комплектувани Технически предложения и отделни непрозрачни пликове с надпис „Предлагани ценови параметри“, с посочване на позицията, за която се отнасят.</w:t>
      </w:r>
      <w:r w:rsidR="00DC3CA5" w:rsidRPr="00456F6D">
        <w:t xml:space="preserve"> </w:t>
      </w:r>
      <w:r w:rsidR="008424A7" w:rsidRPr="00456F6D">
        <w:rPr>
          <w:b/>
        </w:rPr>
        <w:t xml:space="preserve"> </w:t>
      </w:r>
    </w:p>
    <w:p w:rsidR="002B4CC1" w:rsidRPr="00A12722" w:rsidRDefault="00AC2D99" w:rsidP="0026221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b/>
        </w:rPr>
        <w:t>4</w:t>
      </w:r>
      <w:r w:rsidR="002B4CC1" w:rsidRPr="00456F6D">
        <w:rPr>
          <w:b/>
        </w:rPr>
        <w:t>.</w:t>
      </w:r>
      <w:r w:rsidR="00DC3CA5" w:rsidRPr="00456F6D">
        <w:rPr>
          <w:b/>
        </w:rPr>
        <w:t>3.</w:t>
      </w:r>
      <w:r w:rsidR="002B4CC1" w:rsidRPr="00456F6D">
        <w:t xml:space="preserve"> Офертата следва да бъде представена на адреса, посочен в обявлението за</w:t>
      </w:r>
      <w:r w:rsidR="002B4CC1" w:rsidRPr="00A12722">
        <w:t xml:space="preserve"> обществена поръка преди часа и датата, посочени като краен срок за представяне на оферти. До изтичане на срока за подаване на оферти всеки участник в процедурата може да промени, допълни или да оттегли офертата си. </w:t>
      </w:r>
    </w:p>
    <w:p w:rsidR="00DC3CA5" w:rsidRPr="00852D0F" w:rsidRDefault="00AC2D99" w:rsidP="0026221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b/>
        </w:rPr>
        <w:t>4</w:t>
      </w:r>
      <w:r w:rsidR="00DC3CA5" w:rsidRPr="00A12722">
        <w:rPr>
          <w:b/>
        </w:rPr>
        <w:t>.4.</w:t>
      </w:r>
      <w:r w:rsidR="00DC3CA5" w:rsidRPr="00A12722">
        <w:t xml:space="preserve"> </w:t>
      </w:r>
      <w:r w:rsidR="00DC3CA5" w:rsidRPr="00852D0F">
        <w:t xml:space="preserve">Съгласно чл. 48, ал. 3 от ППЗОП, </w:t>
      </w:r>
      <w:r w:rsidR="00DC3CA5" w:rsidRPr="00852D0F">
        <w:rPr>
          <w:u w:val="single"/>
        </w:rPr>
        <w:t>оферти, които са представени след изтичане на крайния срок за получаване или са в незапечатана опаковка или в опаковка с нарушена цялост, няма да бъдат приемани от възложителя</w:t>
      </w:r>
      <w:r w:rsidR="00DC3CA5" w:rsidRPr="00852D0F">
        <w:t>.</w:t>
      </w:r>
    </w:p>
    <w:p w:rsidR="00852D0F" w:rsidRDefault="00AC2D99" w:rsidP="0026221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b/>
        </w:rPr>
        <w:t>4</w:t>
      </w:r>
      <w:r w:rsidR="00852D0F" w:rsidRPr="00852D0F">
        <w:rPr>
          <w:b/>
        </w:rPr>
        <w:t>.5.</w:t>
      </w:r>
      <w:r w:rsidR="00852D0F">
        <w:t xml:space="preserve"> </w:t>
      </w:r>
      <w:r w:rsidR="00852D0F" w:rsidRPr="00852D0F">
        <w:rPr>
          <w:u w:val="single"/>
        </w:rPr>
        <w:t>Оферти, които са представени в опаковки, които не отговарят на изискванията на чл. 47, ал. 2 от ППЗОП няма да бъдат разглеждани, като това несъответствие представлява основание за отстраняване от процедурата</w:t>
      </w:r>
      <w:r w:rsidR="00852D0F">
        <w:t>.</w:t>
      </w:r>
    </w:p>
    <w:p w:rsidR="001A7F1C" w:rsidRPr="001A7F1C" w:rsidRDefault="00AC2D99" w:rsidP="001A7F1C">
      <w:pPr>
        <w:overflowPunct w:val="0"/>
        <w:autoSpaceDE w:val="0"/>
        <w:autoSpaceDN w:val="0"/>
        <w:adjustRightInd w:val="0"/>
        <w:spacing w:before="240" w:after="60"/>
        <w:ind w:firstLine="567"/>
        <w:jc w:val="both"/>
        <w:outlineLvl w:val="1"/>
        <w:rPr>
          <w:b/>
        </w:rPr>
      </w:pPr>
      <w:r>
        <w:rPr>
          <w:b/>
        </w:rPr>
        <w:t>5</w:t>
      </w:r>
      <w:r w:rsidR="004F548C" w:rsidRPr="004F548C">
        <w:rPr>
          <w:b/>
        </w:rPr>
        <w:t xml:space="preserve">. </w:t>
      </w:r>
      <w:r w:rsidR="001A7F1C" w:rsidRPr="001A7F1C">
        <w:rPr>
          <w:b/>
        </w:rPr>
        <w:t>Указания за подготовка и представяне на електронен ЕЕДОП (еЕЕДОП):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Cs/>
        </w:rPr>
      </w:pPr>
      <w:r w:rsidRPr="001A7F1C">
        <w:rPr>
          <w:bCs/>
        </w:rPr>
        <w:t>ЕЕДОП се представя по стандартен образец, утвърден с Регламент за изпълнение (ЕС) 2016/7 на Комисията от 05.01.2016 г. ЕЕДОП</w:t>
      </w:r>
      <w:r w:rsidRPr="001A7F1C">
        <w:rPr>
          <w:bCs/>
          <w:lang w:val="en-US"/>
        </w:rPr>
        <w:t xml:space="preserve"> </w:t>
      </w:r>
      <w:r w:rsidRPr="001A7F1C">
        <w:rPr>
          <w:bCs/>
        </w:rPr>
        <w:t xml:space="preserve">и се подава задължително в електронен вид. 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Cs/>
        </w:rPr>
      </w:pPr>
      <w:r w:rsidRPr="001A7F1C">
        <w:rPr>
          <w:bCs/>
        </w:rPr>
        <w:t xml:space="preserve">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 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Cs/>
        </w:rPr>
      </w:pPr>
      <w:r w:rsidRPr="001A7F1C">
        <w:rPr>
          <w:bCs/>
        </w:rPr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u w:val="single"/>
          <w:lang w:val="en-US"/>
        </w:rPr>
      </w:pPr>
      <w:r w:rsidRPr="001A7F1C">
        <w:rPr>
          <w:u w:val="single"/>
        </w:rPr>
        <w:t>Подготовка на еЕЕДОП чрез използване на образеца във формат *.</w:t>
      </w:r>
      <w:r w:rsidRPr="001A7F1C">
        <w:rPr>
          <w:u w:val="single"/>
          <w:lang w:val="en-US"/>
        </w:rPr>
        <w:t>docx</w:t>
      </w:r>
      <w:r w:rsidRPr="001A7F1C">
        <w:rPr>
          <w:u w:val="single"/>
        </w:rPr>
        <w:t>:</w:t>
      </w:r>
    </w:p>
    <w:p w:rsidR="001A7F1C" w:rsidRPr="001A7F1C" w:rsidRDefault="001A7F1C" w:rsidP="001A7F1C">
      <w:pPr>
        <w:spacing w:before="60" w:after="60"/>
        <w:ind w:firstLine="567"/>
        <w:jc w:val="both"/>
      </w:pPr>
      <w:r w:rsidRPr="001A7F1C">
        <w:lastRenderedPageBreak/>
        <w:t>Към настоящата документация се предоставя образец на ЕЕДОП във формат *.</w:t>
      </w:r>
      <w:r w:rsidRPr="001A7F1C">
        <w:rPr>
          <w:lang w:val="en-US"/>
        </w:rPr>
        <w:t>docx</w:t>
      </w:r>
      <w:r w:rsidRPr="001A7F1C">
        <w:t xml:space="preserve">, който може да бъде попълнен и подписан с електронен подпис. </w:t>
      </w:r>
    </w:p>
    <w:p w:rsidR="001A7F1C" w:rsidRPr="001A7F1C" w:rsidRDefault="001A7F1C" w:rsidP="001A7F1C">
      <w:pPr>
        <w:spacing w:before="60" w:after="60"/>
        <w:ind w:firstLine="567"/>
        <w:jc w:val="both"/>
      </w:pPr>
      <w:r w:rsidRPr="001A7F1C">
        <w:t>След попълване на образеца същият се подписва електронно от всички задължени лица и се предоставя в електронен вид към документите за участие в процедурата.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u w:val="single"/>
        </w:rPr>
      </w:pPr>
      <w:r w:rsidRPr="001A7F1C">
        <w:rPr>
          <w:u w:val="single"/>
        </w:rPr>
        <w:t>Подготовка на еЕЕДОП чрез използване на информационната система на Европейската Комисия: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/>
        </w:rPr>
      </w:pPr>
      <w:r w:rsidRPr="001A7F1C">
        <w:t xml:space="preserve">Електронен ЕЕДОП (еЕЕДОП) може да се подготви и чрез използване на осигурената от Европейската Комисия безплатна услуга – информационна система за </w:t>
      </w:r>
      <w:proofErr w:type="spellStart"/>
      <w:r w:rsidRPr="001A7F1C">
        <w:t>eЕЕДОП</w:t>
      </w:r>
      <w:proofErr w:type="spellEnd"/>
      <w:r w:rsidRPr="001A7F1C">
        <w:t xml:space="preserve">. Системата дава възможност за попълване на образец онлайн, след което същият може да бъде изтеглен, подписан електронно и приложен към офертата. Системата дава възможност и за повторно използване на вече генериран еЕЕДОП.  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адрес: </w:t>
      </w:r>
      <w:hyperlink r:id="rId12" w:history="1">
        <w:r w:rsidRPr="001A7F1C">
          <w:rPr>
            <w:b/>
            <w:color w:val="0000FF"/>
            <w:u w:val="single"/>
          </w:rPr>
          <w:t>https://ec.europa.eu/tools/espd</w:t>
        </w:r>
      </w:hyperlink>
      <w:r w:rsidRPr="001A7F1C">
        <w:rPr>
          <w:b/>
        </w:rPr>
        <w:t xml:space="preserve"> 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/>
        </w:rPr>
      </w:pPr>
      <w:r w:rsidRPr="001A7F1C">
        <w:t xml:space="preserve">Към настоящата документация се предоставя електронен образец на ЕЕДОП (еЕЕДОП) - файл, който е предназначен за използване в електронната система за еЕЕДОП. 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/>
          <w:bCs/>
        </w:rPr>
      </w:pPr>
      <w:r w:rsidRPr="001A7F1C">
        <w:rPr>
          <w:b/>
          <w:bCs/>
        </w:rPr>
        <w:t>Подробни указания за подготовката и предоставянето на електронен еЕЕДОП са предоставени на сайта на Агенцията по обществени поръчки:</w:t>
      </w:r>
    </w:p>
    <w:p w:rsidR="001A7F1C" w:rsidRPr="001A7F1C" w:rsidRDefault="001A7F1C" w:rsidP="001A7F1C">
      <w:pPr>
        <w:spacing w:before="60" w:after="60"/>
        <w:ind w:firstLine="567"/>
        <w:jc w:val="both"/>
        <w:rPr>
          <w:b/>
          <w:bCs/>
        </w:rPr>
      </w:pPr>
      <w:r w:rsidRPr="001A7F1C">
        <w:rPr>
          <w:b/>
          <w:bCs/>
        </w:rPr>
        <w:t xml:space="preserve">Методически указания - </w:t>
      </w:r>
      <w:hyperlink r:id="rId13" w:history="1">
        <w:r w:rsidRPr="001A7F1C">
          <w:rPr>
            <w:b/>
            <w:bCs/>
            <w:color w:val="0000FF"/>
            <w:u w:val="single"/>
          </w:rPr>
          <w:t>http://rop3-app1.aop.bg:7778/portal/page?_pageid=93,472252&amp;_dad=portal&amp;_schema=PORTAL&amp;l_id=102&amp;range=current</w:t>
        </w:r>
      </w:hyperlink>
      <w:r w:rsidRPr="001A7F1C">
        <w:rPr>
          <w:b/>
          <w:bCs/>
        </w:rPr>
        <w:t xml:space="preserve"> 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rPr>
          <w:b/>
          <w:bCs/>
        </w:rPr>
        <w:t xml:space="preserve">Указания в раздел „Въпроси и отговори“ - </w:t>
      </w:r>
      <w:hyperlink r:id="rId14" w:history="1">
        <w:r w:rsidRPr="001A7F1C">
          <w:rPr>
            <w:b/>
            <w:bCs/>
            <w:color w:val="0000FF"/>
            <w:u w:val="single"/>
          </w:rPr>
          <w:t>http://rop3-app1.aop.bg:7778/portal/page?_pageid=93,1660363&amp;_dad=portal&amp;_schema=PORTAL</w:t>
        </w:r>
      </w:hyperlink>
    </w:p>
    <w:p w:rsidR="00FB0066" w:rsidRPr="00A12722" w:rsidRDefault="00AC2D99" w:rsidP="004F548C">
      <w:pPr>
        <w:pStyle w:val="2"/>
      </w:pPr>
      <w:r>
        <w:t>6</w:t>
      </w:r>
      <w:r w:rsidR="00FB0066" w:rsidRPr="00A12722">
        <w:t xml:space="preserve">. </w:t>
      </w:r>
      <w:r w:rsidR="00FC4184" w:rsidRPr="00A12722">
        <w:t>Указания за подготовка на Т</w:t>
      </w:r>
      <w:r w:rsidR="00FB0066" w:rsidRPr="00A12722">
        <w:t>ехническо предложение: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Образец на техническо предложение е предоставен от възложителя към документацията за обществената поръчка. </w:t>
      </w:r>
      <w:r w:rsidR="007C0BE1">
        <w:t>О</w:t>
      </w:r>
      <w:r w:rsidRPr="001A7F1C">
        <w:t>бразец</w:t>
      </w:r>
      <w:r w:rsidR="007C0BE1">
        <w:t>а</w:t>
      </w:r>
      <w:r w:rsidRPr="001A7F1C">
        <w:t xml:space="preserve"> е изготвен при спазване изискванията на чл. 39, ал. 3, т. 1 от ППЗОП и не се допускат промени по условията, описани в него.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В тази част от офертата се представя техническо предложение за изпълнение на поръчката в съответствие с техническите спецификации и изискванията на възложителя и се декларира: съгласие с клаузите в проекта на договор; срок на валидност на офертата;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>Оферира се срок за изпълнение на строителството в календарни дни, който включва периода  от откриване на строителна площадка и определяне на строителна линия и ниво д</w:t>
      </w:r>
      <w:r w:rsidR="002E42A7">
        <w:t>о</w:t>
      </w:r>
      <w:r w:rsidRPr="001A7F1C">
        <w:t xml:space="preserve"> предаването на строежа от изпълнителя на възложителя с констативен акт за установяване годността за приемане на строежа без забележки, или когато са идентифицирани такива до подписването на протокол, въз основа на който Възложителят приема отстранените забележки.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>Към техническото предложение се прилагат: работна програма и индикативен линеен график.</w:t>
      </w:r>
    </w:p>
    <w:p w:rsidR="001A7F1C" w:rsidRPr="001A7F1C" w:rsidRDefault="001A7F1C" w:rsidP="001A7F1C">
      <w:pPr>
        <w:spacing w:before="120" w:after="120"/>
        <w:ind w:firstLine="567"/>
        <w:jc w:val="both"/>
        <w:rPr>
          <w:u w:val="single"/>
        </w:rPr>
      </w:pPr>
      <w:r w:rsidRPr="001A7F1C">
        <w:rPr>
          <w:u w:val="single"/>
        </w:rPr>
        <w:t>Изисквания към работната програма: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lastRenderedPageBreak/>
        <w:t xml:space="preserve">Да се представи организация за изпълнение на строителство по всяка проектна част, съобразно техническата спецификация на възложителя и одобрения инвестиционен проект.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Да бъдат въведени и представени минимум 2 (два) метода за подобряване качествените и/или екологични аспекти на изпълнението.  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Да бъдат въведени и представени минимум следните мерки за осигуряване на качеството при изпълнение на поръчката: осъществяване на вътрешен контрол от страна на лицата, отговарящи за контрола на качеството при получаване на материали и други продукти за обектите и от страна на лицата, отговарящи за контрола на качеството на труда; разпределение на задачите между ръководния състав и начина на осъществяване на координация с възложителя;   </w:t>
      </w:r>
    </w:p>
    <w:p w:rsidR="001A7F1C" w:rsidRPr="001A7F1C" w:rsidRDefault="001A7F1C" w:rsidP="001A7F1C">
      <w:pPr>
        <w:spacing w:before="120" w:after="120"/>
        <w:ind w:firstLine="567"/>
        <w:jc w:val="both"/>
        <w:rPr>
          <w:u w:val="single"/>
        </w:rPr>
      </w:pPr>
      <w:r w:rsidRPr="001A7F1C">
        <w:rPr>
          <w:u w:val="single"/>
        </w:rPr>
        <w:t>Изисквания към линейния график: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Да бъде посочено времето за изпълнение на всяка една дейност, предвидена в инвестиционния проект, както и броя и квалификацията на необходимите строителни работници (норма време/норма изработка), броя, вида и производителността на необходимата механизация и общите машиносмени за всяка машина. </w:t>
      </w:r>
    </w:p>
    <w:p w:rsidR="001A7F1C" w:rsidRPr="001A7F1C" w:rsidRDefault="001A7F1C" w:rsidP="001A7F1C">
      <w:pPr>
        <w:spacing w:before="120" w:after="120"/>
        <w:ind w:firstLine="567"/>
        <w:jc w:val="both"/>
      </w:pPr>
      <w:r w:rsidRPr="001A7F1C">
        <w:t xml:space="preserve">Към графика да е приложена диаграма на работната ръка. </w:t>
      </w:r>
    </w:p>
    <w:p w:rsidR="00E875FE" w:rsidRPr="004D2890" w:rsidRDefault="001A7F1C" w:rsidP="001A7F1C">
      <w:pPr>
        <w:spacing w:before="120" w:after="120"/>
        <w:ind w:firstLine="567"/>
        <w:jc w:val="both"/>
        <w:rPr>
          <w:highlight w:val="yellow"/>
        </w:rPr>
      </w:pPr>
      <w:r w:rsidRPr="001A7F1C">
        <w:t>Неспазването на едно или повече от описаните  изисквания за изготвяне на техническо предложение е основание за отстраняване от процедурата по съответната обособена позиция.</w:t>
      </w:r>
    </w:p>
    <w:p w:rsidR="00FC4184" w:rsidRPr="002A1B65" w:rsidRDefault="00AC2D99" w:rsidP="0026221C">
      <w:pPr>
        <w:pStyle w:val="2"/>
      </w:pPr>
      <w:r>
        <w:t>7</w:t>
      </w:r>
      <w:r w:rsidR="002B4CC1" w:rsidRPr="002A1B65">
        <w:t xml:space="preserve">. </w:t>
      </w:r>
      <w:r w:rsidR="00FC4184" w:rsidRPr="002A1B65">
        <w:t>Указания за подготовка на Ценово предложение:</w:t>
      </w:r>
    </w:p>
    <w:p w:rsidR="006B4903" w:rsidRDefault="008157DD" w:rsidP="006B4903">
      <w:pPr>
        <w:spacing w:before="120" w:after="120"/>
        <w:ind w:firstLine="567"/>
        <w:jc w:val="both"/>
      </w:pPr>
      <w:r w:rsidRPr="002A1B65">
        <w:t>Образец на ценово предложение</w:t>
      </w:r>
      <w:r w:rsidR="00C6769C" w:rsidRPr="002A1B65">
        <w:t xml:space="preserve"> е</w:t>
      </w:r>
      <w:r w:rsidRPr="002A1B65">
        <w:t xml:space="preserve"> предоставен от възложителя към докумен</w:t>
      </w:r>
      <w:r w:rsidR="00C6769C" w:rsidRPr="002A1B65">
        <w:t>тацията за обществената поръчка.</w:t>
      </w:r>
      <w:r w:rsidRPr="002A1B65">
        <w:t xml:space="preserve"> </w:t>
      </w:r>
      <w:r w:rsidR="00392BFE" w:rsidRPr="002A1B65">
        <w:t>О</w:t>
      </w:r>
      <w:r w:rsidR="00C6769C" w:rsidRPr="002A1B65">
        <w:t>бразец</w:t>
      </w:r>
      <w:r w:rsidR="00392BFE" w:rsidRPr="002A1B65">
        <w:t>ът</w:t>
      </w:r>
      <w:r w:rsidR="00C6769C" w:rsidRPr="002A1B65">
        <w:t xml:space="preserve"> </w:t>
      </w:r>
      <w:r w:rsidRPr="002A1B65">
        <w:t xml:space="preserve">е изготвен при спазване изискванията </w:t>
      </w:r>
      <w:r w:rsidR="00C6769C" w:rsidRPr="002A1B65">
        <w:t>на чл. 39, ал. 3, т. 2 от ППЗОП и н</w:t>
      </w:r>
      <w:r w:rsidRPr="002A1B65">
        <w:t>е се допускат промени по условията</w:t>
      </w:r>
      <w:r w:rsidR="00C6769C" w:rsidRPr="002A1B65">
        <w:t>,</w:t>
      </w:r>
      <w:r w:rsidRPr="002A1B65">
        <w:t xml:space="preserve"> </w:t>
      </w:r>
      <w:r w:rsidR="00C6769C" w:rsidRPr="002A1B65">
        <w:t>описани в него</w:t>
      </w:r>
      <w:r w:rsidRPr="002A1B65">
        <w:t>.</w:t>
      </w:r>
      <w:r w:rsidR="00A401CF" w:rsidRPr="002A1B65">
        <w:t xml:space="preserve"> Неспазването на едно или повече от описаните изисквания за изготвяне на ценови предложения е основание за отстраняване от процедурата.</w:t>
      </w:r>
    </w:p>
    <w:p w:rsidR="002A1B65" w:rsidRDefault="006B4903" w:rsidP="002A1B65">
      <w:pPr>
        <w:spacing w:before="120" w:after="120"/>
        <w:ind w:firstLine="567"/>
        <w:jc w:val="both"/>
        <w:rPr>
          <w:rFonts w:eastAsia="Calibri"/>
          <w:noProof/>
          <w:lang w:val="ru-RU" w:eastAsia="ar-SA"/>
        </w:rPr>
      </w:pPr>
      <w:r w:rsidRPr="006B4903">
        <w:rPr>
          <w:rFonts w:eastAsia="Calibri"/>
          <w:noProof/>
          <w:lang w:eastAsia="ar-SA"/>
        </w:rPr>
        <w:t xml:space="preserve">В Ценовото предложение, участниците следва да посочат </w:t>
      </w:r>
      <w:r w:rsidR="002A1B65">
        <w:rPr>
          <w:rFonts w:eastAsia="Calibri"/>
          <w:noProof/>
          <w:lang w:eastAsia="ar-SA"/>
        </w:rPr>
        <w:t xml:space="preserve">обща </w:t>
      </w:r>
      <w:r w:rsidRPr="006B4903">
        <w:rPr>
          <w:rFonts w:eastAsia="Calibri"/>
          <w:noProof/>
          <w:lang w:eastAsia="ar-SA"/>
        </w:rPr>
        <w:t>цена за</w:t>
      </w:r>
      <w:r w:rsidRPr="006B4903">
        <w:rPr>
          <w:rFonts w:eastAsia="Calibri"/>
          <w:noProof/>
          <w:lang w:val="ru-RU" w:eastAsia="ar-SA"/>
        </w:rPr>
        <w:t xml:space="preserve"> </w:t>
      </w:r>
      <w:r>
        <w:rPr>
          <w:rFonts w:eastAsia="Calibri"/>
          <w:noProof/>
          <w:lang w:val="ru-RU" w:eastAsia="ar-SA"/>
        </w:rPr>
        <w:t>и</w:t>
      </w:r>
      <w:r w:rsidRPr="006B4903">
        <w:rPr>
          <w:rFonts w:eastAsia="Calibri"/>
          <w:noProof/>
          <w:lang w:val="ru-RU" w:eastAsia="ar-SA"/>
        </w:rPr>
        <w:t xml:space="preserve">зпълнение на </w:t>
      </w:r>
      <w:r w:rsidR="00C74389">
        <w:rPr>
          <w:rFonts w:eastAsia="Calibri"/>
          <w:noProof/>
          <w:lang w:val="ru-RU" w:eastAsia="ar-SA"/>
        </w:rPr>
        <w:t>обособената позиция</w:t>
      </w:r>
      <w:r w:rsidRPr="006B4903">
        <w:rPr>
          <w:rFonts w:eastAsia="Calibri"/>
          <w:noProof/>
          <w:lang w:val="ru-RU" w:eastAsia="ar-SA"/>
        </w:rPr>
        <w:t xml:space="preserve"> (в т. ч. труд, материали и механизация,</w:t>
      </w:r>
      <w:r w:rsidRPr="006B4903">
        <w:rPr>
          <w:rFonts w:eastAsia="Calibri"/>
          <w:noProof/>
          <w:lang w:eastAsia="ar-SA"/>
        </w:rPr>
        <w:t xml:space="preserve"> машини и съоръжения</w:t>
      </w:r>
      <w:r w:rsidRPr="006B4903">
        <w:rPr>
          <w:rFonts w:eastAsia="Calibri"/>
          <w:noProof/>
          <w:lang w:val="ru-RU" w:eastAsia="ar-SA"/>
        </w:rPr>
        <w:t>)</w:t>
      </w:r>
    </w:p>
    <w:p w:rsidR="006B4903" w:rsidRPr="006B4903" w:rsidRDefault="006B4903" w:rsidP="006B4903">
      <w:pPr>
        <w:spacing w:before="120" w:after="120"/>
        <w:ind w:firstLine="567"/>
        <w:jc w:val="both"/>
        <w:rPr>
          <w:highlight w:val="yellow"/>
        </w:rPr>
      </w:pPr>
      <w:r w:rsidRPr="006B4903">
        <w:rPr>
          <w:rFonts w:eastAsia="Calibri"/>
          <w:noProof/>
          <w:lang w:val="ru-RU" w:eastAsia="ar-SA"/>
        </w:rPr>
        <w:t>Като приложение към Ценовото предложение, участниците представят количествено – стойностн</w:t>
      </w:r>
      <w:r w:rsidR="002A1B65">
        <w:rPr>
          <w:rFonts w:eastAsia="Calibri"/>
          <w:noProof/>
          <w:lang w:val="ru-RU" w:eastAsia="ar-SA"/>
        </w:rPr>
        <w:t>а</w:t>
      </w:r>
      <w:r w:rsidRPr="006B4903">
        <w:rPr>
          <w:rFonts w:eastAsia="Calibri"/>
          <w:noProof/>
          <w:lang w:val="ru-RU" w:eastAsia="ar-SA"/>
        </w:rPr>
        <w:t xml:space="preserve"> сметк</w:t>
      </w:r>
      <w:r w:rsidR="002A1B65">
        <w:rPr>
          <w:rFonts w:eastAsia="Calibri"/>
          <w:noProof/>
          <w:lang w:val="ru-RU" w:eastAsia="ar-SA"/>
        </w:rPr>
        <w:t>а</w:t>
      </w:r>
      <w:r w:rsidRPr="006B4903">
        <w:rPr>
          <w:rFonts w:eastAsia="Calibri"/>
          <w:noProof/>
          <w:lang w:val="ru-RU" w:eastAsia="ar-SA"/>
        </w:rPr>
        <w:t xml:space="preserve"> КСС (по образец). </w:t>
      </w:r>
    </w:p>
    <w:p w:rsidR="006B4903" w:rsidRPr="006B4903" w:rsidRDefault="006B4903" w:rsidP="006B4903">
      <w:pPr>
        <w:spacing w:before="120" w:after="120"/>
        <w:ind w:firstLine="567"/>
        <w:jc w:val="both"/>
        <w:rPr>
          <w:rFonts w:eastAsia="Calibri"/>
          <w:noProof/>
          <w:lang w:val="ru-RU" w:eastAsia="ar-SA"/>
        </w:rPr>
      </w:pPr>
      <w:r w:rsidRPr="006B4903">
        <w:rPr>
          <w:rFonts w:eastAsia="Calibri"/>
          <w:noProof/>
          <w:lang w:val="ru-RU" w:eastAsia="ar-SA"/>
        </w:rPr>
        <w:t>Посочените в сметката позиции и съответните им колечества са за строително-монтажни работи и строителни и други елементи в напълно завършен (монтиран, положен и т.н.) вид, включително доставка, монтаж, полагане, изпълнение, изработване и т.н., както и доставка на всички стоителни материали, продукти, елементи и аксесоари, необходими за качествения монтаж, полагане, направа или изпълнение.</w:t>
      </w:r>
    </w:p>
    <w:p w:rsidR="006B4903" w:rsidRDefault="006B4903" w:rsidP="006B4903">
      <w:pPr>
        <w:spacing w:before="120" w:after="120"/>
        <w:ind w:firstLine="567"/>
        <w:jc w:val="both"/>
        <w:rPr>
          <w:rFonts w:eastAsia="Calibri"/>
          <w:noProof/>
          <w:lang w:val="ru-RU" w:eastAsia="ar-SA"/>
        </w:rPr>
      </w:pPr>
      <w:r w:rsidRPr="006B4903">
        <w:rPr>
          <w:rFonts w:eastAsia="Calibri"/>
          <w:noProof/>
          <w:lang w:val="ru-RU" w:eastAsia="ar-SA"/>
        </w:rPr>
        <w:t>В единичните цени на СМР да се включат печалбата и всички разходи на изпълнителя (за труд, материали, механизация, допълнителни разходи и др.), включително разходи за временно строителство, доставно-складови разходи, пренос на материалите до работното място и други.</w:t>
      </w:r>
    </w:p>
    <w:p w:rsidR="00A401CF" w:rsidRDefault="00A401CF" w:rsidP="006B4903">
      <w:pPr>
        <w:spacing w:before="120" w:after="120"/>
        <w:ind w:firstLine="567"/>
        <w:jc w:val="both"/>
        <w:rPr>
          <w:rFonts w:eastAsia="Calibri"/>
          <w:b/>
          <w:noProof/>
          <w:lang w:val="ru-RU" w:eastAsia="ar-SA"/>
        </w:rPr>
      </w:pPr>
      <w:r w:rsidRPr="006B4903">
        <w:rPr>
          <w:rFonts w:eastAsia="Calibri"/>
          <w:b/>
          <w:noProof/>
          <w:lang w:val="ru-RU" w:eastAsia="ar-SA"/>
        </w:rPr>
        <w:t>Цените се предлагат в български лева без включен ДДС.</w:t>
      </w:r>
    </w:p>
    <w:p w:rsidR="00EB5697" w:rsidRPr="00EB5697" w:rsidRDefault="00EB5697" w:rsidP="00EB5697">
      <w:pPr>
        <w:spacing w:before="120" w:after="120"/>
        <w:ind w:firstLine="567"/>
        <w:jc w:val="both"/>
        <w:rPr>
          <w:rFonts w:eastAsia="Calibri"/>
          <w:noProof/>
          <w:lang w:val="ru-RU" w:eastAsia="ar-SA"/>
        </w:rPr>
      </w:pPr>
      <w:r w:rsidRPr="00EB5697">
        <w:rPr>
          <w:rFonts w:eastAsia="Calibri"/>
          <w:noProof/>
          <w:lang w:val="ru-RU" w:eastAsia="ar-SA"/>
        </w:rPr>
        <w:lastRenderedPageBreak/>
        <w:t xml:space="preserve">Предложената цена следва да е определена при пълно съответствие с условията от документацията по процедурата и включва всички разходи по изпълнение на всички работи, дейности, услуги, и др., нужни за качественото изпълнение на предмета на </w:t>
      </w:r>
      <w:r w:rsidR="00E00097">
        <w:rPr>
          <w:rFonts w:eastAsia="Calibri"/>
          <w:noProof/>
          <w:lang w:val="ru-RU" w:eastAsia="ar-SA"/>
        </w:rPr>
        <w:t>обособената позиция</w:t>
      </w:r>
      <w:r w:rsidRPr="00EB5697">
        <w:rPr>
          <w:rFonts w:eastAsia="Calibri"/>
          <w:noProof/>
          <w:lang w:val="ru-RU" w:eastAsia="ar-SA"/>
        </w:rPr>
        <w:t>, включително възнаграждения на технически лица /ръководни технически служители, работници/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EB5697" w:rsidRDefault="00EB5697" w:rsidP="00EB5697">
      <w:pPr>
        <w:spacing w:before="120" w:after="120"/>
        <w:ind w:firstLine="567"/>
        <w:jc w:val="both"/>
        <w:rPr>
          <w:rFonts w:eastAsia="Calibri"/>
        </w:rPr>
      </w:pPr>
      <w:r w:rsidRPr="00EB5697">
        <w:rPr>
          <w:rFonts w:eastAsia="Calibri"/>
          <w:noProof/>
          <w:lang w:val="ru-RU" w:eastAsia="ar-SA"/>
        </w:rPr>
        <w:t>Неспазването на описаните изисквания</w:t>
      </w:r>
      <w:r w:rsidRPr="00CE72D7">
        <w:rPr>
          <w:rFonts w:eastAsia="Calibri"/>
        </w:rPr>
        <w:t xml:space="preserve"> е основание за отстраняване от процедурата.</w:t>
      </w:r>
    </w:p>
    <w:p w:rsidR="00E958DF" w:rsidRPr="00530178" w:rsidRDefault="00E958DF" w:rsidP="00E958DF">
      <w:pPr>
        <w:spacing w:before="120"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00097">
        <w:rPr>
          <w:rFonts w:asciiTheme="minorHAnsi" w:eastAsiaTheme="minorHAnsi" w:hAnsiTheme="minorHAnsi" w:cstheme="minorBidi"/>
          <w:szCs w:val="22"/>
          <w:lang w:eastAsia="en-US"/>
        </w:rPr>
        <w:t>Ценовото предложение става неразделна част от договора за възлагане на поръчката, поради което в него не се допускат аритметични несъответствия.</w:t>
      </w:r>
    </w:p>
    <w:p w:rsidR="00E8192B" w:rsidRPr="004C399F" w:rsidRDefault="008157DD" w:rsidP="00676375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  <w:ind w:firstLine="0"/>
        <w:rPr>
          <w14:shadow w14:blurRad="0" w14:dist="0" w14:dir="0" w14:sx="0" w14:sy="0" w14:kx="0" w14:ky="0" w14:algn="none">
            <w14:srgbClr w14:val="000000"/>
          </w14:shadow>
        </w:rPr>
      </w:pPr>
      <w:r w:rsidRPr="004C399F">
        <w:rPr>
          <w:lang w:val="bg-BG"/>
          <w14:shadow w14:blurRad="0" w14:dist="0" w14:dir="0" w14:sx="0" w14:sy="0" w14:kx="0" w14:ky="0" w14:algn="none">
            <w14:srgbClr w14:val="000000"/>
          </w14:shadow>
        </w:rPr>
        <w:t>І</w:t>
      </w:r>
      <w:r w:rsidR="00E8192B" w:rsidRPr="004C399F">
        <w:rPr>
          <w14:shadow w14:blurRad="0" w14:dist="0" w14:dir="0" w14:sx="0" w14:sy="0" w14:kx="0" w14:ky="0" w14:algn="none">
            <w14:srgbClr w14:val="000000"/>
          </w14:shadow>
        </w:rPr>
        <w:t>V. РАЗГЛЕЖДАНЕ, ОЦЕНЯВАНЕ И КЛАСИРАНЕ НА ОФЕРТИТЕ</w:t>
      </w:r>
    </w:p>
    <w:p w:rsidR="00E8192B" w:rsidRPr="004C399F" w:rsidRDefault="00E8192B" w:rsidP="0026221C">
      <w:pPr>
        <w:spacing w:before="120" w:after="120"/>
        <w:ind w:firstLine="567"/>
        <w:jc w:val="both"/>
      </w:pPr>
      <w:r w:rsidRPr="004C399F">
        <w:rPr>
          <w:b/>
        </w:rPr>
        <w:t>1.</w:t>
      </w:r>
      <w:r w:rsidRPr="004C399F">
        <w:t xml:space="preserve"> Комисията  за  разглеждане,  оценяване  и  класиране  на  офертите  </w:t>
      </w:r>
      <w:r w:rsidR="009A00C2" w:rsidRPr="004C399F">
        <w:t xml:space="preserve">ще бъде </w:t>
      </w:r>
      <w:r w:rsidRPr="004C399F">
        <w:t xml:space="preserve"> назнач</w:t>
      </w:r>
      <w:r w:rsidR="009A00C2" w:rsidRPr="004C399F">
        <w:t>ена</w:t>
      </w:r>
      <w:r w:rsidRPr="004C399F">
        <w:t xml:space="preserve"> от възложителя след изтичане на срока за приемане на същите и в съответствие с разпоредбите на чл. </w:t>
      </w:r>
      <w:r w:rsidR="009A54BB" w:rsidRPr="004C399F">
        <w:t>103</w:t>
      </w:r>
      <w:r w:rsidRPr="004C399F">
        <w:t xml:space="preserve"> от ЗОП. </w:t>
      </w:r>
    </w:p>
    <w:p w:rsidR="00E57791" w:rsidRPr="004C399F" w:rsidRDefault="00EB5697" w:rsidP="0026221C">
      <w:pPr>
        <w:spacing w:before="120" w:after="120"/>
        <w:ind w:firstLine="567"/>
        <w:jc w:val="both"/>
      </w:pPr>
      <w:r>
        <w:rPr>
          <w:b/>
        </w:rPr>
        <w:t>2</w:t>
      </w:r>
      <w:r w:rsidR="00E8192B" w:rsidRPr="004C399F">
        <w:rPr>
          <w:b/>
        </w:rPr>
        <w:t>.</w:t>
      </w:r>
      <w:r w:rsidR="00E57791" w:rsidRPr="004C399F">
        <w:rPr>
          <w:b/>
        </w:rPr>
        <w:t xml:space="preserve"> Критерий за възлагане:</w:t>
      </w:r>
      <w:r w:rsidR="00E8192B" w:rsidRPr="004C399F">
        <w:t xml:space="preserve"> </w:t>
      </w:r>
    </w:p>
    <w:p w:rsidR="00C7265A" w:rsidRDefault="00E57791" w:rsidP="004D2890">
      <w:pPr>
        <w:spacing w:before="120" w:after="120"/>
        <w:ind w:firstLine="567"/>
        <w:jc w:val="both"/>
      </w:pPr>
      <w:r w:rsidRPr="004C399F">
        <w:t xml:space="preserve">Критерият за възлагане на поръчката, чрез който ще се определи икономически най-изгодната оферта е </w:t>
      </w:r>
      <w:r w:rsidR="00E8192B" w:rsidRPr="004C399F">
        <w:rPr>
          <w:b/>
          <w:i/>
        </w:rPr>
        <w:t>„</w:t>
      </w:r>
      <w:r w:rsidR="004D2890">
        <w:rPr>
          <w:b/>
          <w:i/>
        </w:rPr>
        <w:t>оптимално съотношение качество/</w:t>
      </w:r>
      <w:r w:rsidR="008F4253" w:rsidRPr="004C399F">
        <w:rPr>
          <w:b/>
          <w:i/>
        </w:rPr>
        <w:t>цена</w:t>
      </w:r>
      <w:r w:rsidR="00A35B98" w:rsidRPr="004C399F">
        <w:rPr>
          <w:b/>
          <w:i/>
        </w:rPr>
        <w:t>”</w:t>
      </w:r>
      <w:r w:rsidR="00A35B98" w:rsidRPr="004C399F">
        <w:t>.</w:t>
      </w:r>
      <w:r w:rsidR="008F4253" w:rsidRPr="004C399F">
        <w:t xml:space="preserve"> </w:t>
      </w:r>
      <w:r w:rsidR="000D35B2">
        <w:t xml:space="preserve"> </w:t>
      </w:r>
      <w:r w:rsidR="004D2890" w:rsidRPr="007168A3">
        <w:t xml:space="preserve">Обстоятелството </w:t>
      </w:r>
      <w:r w:rsidR="004D2890" w:rsidRPr="00851F1E">
        <w:t>„оптимално съотношение качество/цена”</w:t>
      </w:r>
      <w:r w:rsidR="004D2890" w:rsidRPr="007168A3">
        <w:t xml:space="preserve"> </w:t>
      </w:r>
      <w:r w:rsidR="004D2890" w:rsidRPr="007057E5">
        <w:t xml:space="preserve">се установява </w:t>
      </w:r>
      <w:r w:rsidR="004D2890">
        <w:t>чрез</w:t>
      </w:r>
      <w:r w:rsidR="004D2890" w:rsidRPr="007057E5">
        <w:t xml:space="preserve"> методика за определяне на комплексна оценка на всяка оферта</w:t>
      </w:r>
      <w:r w:rsidR="0005521A">
        <w:t>.</w:t>
      </w:r>
    </w:p>
    <w:p w:rsidR="002910D9" w:rsidRPr="007B40D9" w:rsidRDefault="002910D9" w:rsidP="00676375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  <w:rPr>
          <w:highlight w:val="yellow"/>
          <w14:shadow w14:blurRad="0" w14:dist="0" w14:dir="0" w14:sx="0" w14:sy="0" w14:kx="0" w14:ky="0" w14:algn="none">
            <w14:srgbClr w14:val="000000"/>
          </w14:shadow>
        </w:rPr>
      </w:pPr>
      <w:r w:rsidRPr="004C399F">
        <w:rPr>
          <w14:shadow w14:blurRad="0" w14:dist="0" w14:dir="0" w14:sx="0" w14:sy="0" w14:kx="0" w14:ky="0" w14:algn="none">
            <w14:srgbClr w14:val="000000"/>
          </w14:shadow>
        </w:rPr>
        <w:t xml:space="preserve">V. </w:t>
      </w:r>
      <w:r w:rsidR="0019111A" w:rsidRPr="004C399F">
        <w:rPr>
          <w:lang w:val="bg-BG"/>
          <w14:shadow w14:blurRad="0" w14:dist="0" w14:dir="0" w14:sx="0" w14:sy="0" w14:kx="0" w14:ky="0" w14:algn="none">
            <w14:srgbClr w14:val="000000"/>
          </w14:shadow>
        </w:rPr>
        <w:t>комуникация</w:t>
      </w:r>
      <w:r w:rsidRPr="004C399F">
        <w:rPr>
          <w14:shadow w14:blurRad="0" w14:dist="0" w14:dir="0" w14:sx="0" w14:sy="0" w14:kx="0" w14:ky="0" w14:algn="none">
            <w14:srgbClr w14:val="000000"/>
          </w14:shadow>
        </w:rPr>
        <w:t xml:space="preserve"> И ДРУГА ИНФОРМАЦИЯ</w:t>
      </w:r>
    </w:p>
    <w:p w:rsidR="00256BC9" w:rsidRPr="004C399F" w:rsidRDefault="006B646B" w:rsidP="0026221C">
      <w:pPr>
        <w:spacing w:before="120" w:after="120"/>
        <w:ind w:firstLine="567"/>
        <w:jc w:val="both"/>
      </w:pPr>
      <w:r w:rsidRPr="004C399F">
        <w:rPr>
          <w:b/>
        </w:rPr>
        <w:t>1</w:t>
      </w:r>
      <w:r w:rsidR="002910D9" w:rsidRPr="004C399F">
        <w:rPr>
          <w:b/>
        </w:rPr>
        <w:t>.</w:t>
      </w:r>
      <w:r w:rsidR="002910D9" w:rsidRPr="004C399F">
        <w:t xml:space="preserve"> Обменът на информация </w:t>
      </w:r>
      <w:r w:rsidR="00256BC9" w:rsidRPr="004C399F">
        <w:t xml:space="preserve">във връзка с провеждане на настоящата процедура ще </w:t>
      </w:r>
      <w:r w:rsidR="002910D9" w:rsidRPr="004C399F">
        <w:t xml:space="preserve">се </w:t>
      </w:r>
      <w:r w:rsidR="00256BC9" w:rsidRPr="004C399F">
        <w:t xml:space="preserve">извършва чрез електронни средства за комуникация по смисъла на § 2, т. 10 от ДР на ЗОП, </w:t>
      </w:r>
      <w:r w:rsidR="0019111A" w:rsidRPr="004C399F">
        <w:t xml:space="preserve">а когато няма такава възможност – </w:t>
      </w:r>
      <w:r w:rsidR="00256BC9" w:rsidRPr="004C399F">
        <w:t xml:space="preserve">чрез пощенска или друга подходяща куриерска услуга, както и </w:t>
      </w:r>
      <w:r w:rsidR="0083598C" w:rsidRPr="004C399F">
        <w:t xml:space="preserve">чрез </w:t>
      </w:r>
      <w:r w:rsidR="00256BC9" w:rsidRPr="004C399F">
        <w:t>комбинация от изброените способи.</w:t>
      </w:r>
      <w:r w:rsidR="0019111A" w:rsidRPr="004C399F">
        <w:t xml:space="preserve"> В тази връзка </w:t>
      </w:r>
      <w:r w:rsidR="008B4F42" w:rsidRPr="004C399F">
        <w:t>и с цел спазване на принципът на ЗОП за равнопоставеност, е</w:t>
      </w:r>
      <w:r w:rsidR="0019111A" w:rsidRPr="004C399F">
        <w:t xml:space="preserve"> </w:t>
      </w:r>
      <w:r w:rsidR="00551EA8" w:rsidRPr="004C399F">
        <w:t>препоръчително</w:t>
      </w:r>
      <w:r w:rsidRPr="004C399F">
        <w:t xml:space="preserve"> </w:t>
      </w:r>
      <w:r w:rsidR="008B4F42" w:rsidRPr="004C399F">
        <w:t xml:space="preserve">всички </w:t>
      </w:r>
      <w:r w:rsidRPr="004C399F">
        <w:t xml:space="preserve">участници </w:t>
      </w:r>
      <w:r w:rsidR="0019111A" w:rsidRPr="004C399F">
        <w:t>да посоч</w:t>
      </w:r>
      <w:r w:rsidR="008B4F42" w:rsidRPr="004C399F">
        <w:t>ват</w:t>
      </w:r>
      <w:r w:rsidRPr="004C399F">
        <w:t xml:space="preserve"> електронен адрес </w:t>
      </w:r>
      <w:r w:rsidR="008B4F42" w:rsidRPr="004C399F">
        <w:t xml:space="preserve">за  кореспонденция при провеждане на процедурата.  </w:t>
      </w:r>
    </w:p>
    <w:p w:rsidR="00CD0277" w:rsidRPr="004C399F" w:rsidRDefault="002910D9" w:rsidP="0026221C">
      <w:pPr>
        <w:spacing w:before="120" w:after="120"/>
        <w:ind w:firstLine="567"/>
        <w:jc w:val="both"/>
        <w:rPr>
          <w:b/>
        </w:rPr>
      </w:pPr>
      <w:r w:rsidRPr="004C399F">
        <w:rPr>
          <w:b/>
        </w:rPr>
        <w:t>2.</w:t>
      </w:r>
      <w:r w:rsidRPr="004C399F">
        <w:t xml:space="preserve"> Решенията на възложителя, за които той е длъжен да уведоми участниците, се връчват </w:t>
      </w:r>
      <w:r w:rsidR="0083598C" w:rsidRPr="004C399F">
        <w:t>при условията на чл. 43 от ЗОП.</w:t>
      </w:r>
      <w:r w:rsidR="008B4F42" w:rsidRPr="004C399F">
        <w:t xml:space="preserve"> </w:t>
      </w:r>
      <w:r w:rsidR="00CD0277" w:rsidRPr="004C399F">
        <w:t xml:space="preserve">Когато решението се изпраща </w:t>
      </w:r>
      <w:r w:rsidR="007068BD">
        <w:t>на адреса на</w:t>
      </w:r>
      <w:r w:rsidR="00CD0277" w:rsidRPr="004C399F">
        <w:t xml:space="preserve"> електрон</w:t>
      </w:r>
      <w:r w:rsidR="007068BD">
        <w:t>ната поща на</w:t>
      </w:r>
      <w:r w:rsidR="00CD0277" w:rsidRPr="004C399F">
        <w:t xml:space="preserve"> участника</w:t>
      </w:r>
      <w:r w:rsidR="007068BD">
        <w:t>, същия</w:t>
      </w:r>
      <w:r w:rsidR="00CD0277" w:rsidRPr="004C399F">
        <w:t xml:space="preserve"> следва да потвърди получаването му, чрез отговор на съобщението изпратено от възложителя. </w:t>
      </w:r>
      <w:r w:rsidR="00A755BB" w:rsidRPr="004C399F">
        <w:t>В случай, че до края на работния ден не е получено потвърждение, ще се счита, че решението не е получено от участника.</w:t>
      </w:r>
    </w:p>
    <w:p w:rsidR="002910D9" w:rsidRPr="004C399F" w:rsidRDefault="003E3EAB" w:rsidP="0026221C">
      <w:pPr>
        <w:spacing w:before="120" w:after="120"/>
        <w:ind w:firstLine="567"/>
        <w:jc w:val="both"/>
      </w:pPr>
      <w:r w:rsidRPr="004C399F">
        <w:rPr>
          <w:b/>
        </w:rPr>
        <w:t>3</w:t>
      </w:r>
      <w:r w:rsidR="002910D9" w:rsidRPr="004C399F">
        <w:rPr>
          <w:b/>
        </w:rPr>
        <w:t xml:space="preserve">. </w:t>
      </w:r>
      <w:r w:rsidR="002910D9" w:rsidRPr="004C399F">
        <w:t>Всички действия на възложителя към участниците са в писмен вид. Всяка информация ще бъде обявена от възложителя в профила на купувача на Община Пловдив, към преписката на обществената поръчка.</w:t>
      </w:r>
    </w:p>
    <w:p w:rsidR="002910D9" w:rsidRPr="004C399F" w:rsidRDefault="00171E1E" w:rsidP="0026221C">
      <w:pPr>
        <w:spacing w:before="120" w:after="120"/>
        <w:ind w:firstLine="567"/>
        <w:jc w:val="both"/>
      </w:pPr>
      <w:r w:rsidRPr="004C399F">
        <w:rPr>
          <w:b/>
        </w:rPr>
        <w:t>4</w:t>
      </w:r>
      <w:r w:rsidR="002910D9" w:rsidRPr="004C399F">
        <w:rPr>
          <w:b/>
        </w:rPr>
        <w:t>.</w:t>
      </w:r>
      <w:r w:rsidR="002910D9" w:rsidRPr="004C399F">
        <w:t xml:space="preserve"> </w:t>
      </w:r>
      <w:r w:rsidR="007068BD">
        <w:t>За</w:t>
      </w:r>
      <w:r w:rsidR="002910D9" w:rsidRPr="004C399F">
        <w:t xml:space="preserve"> неуредените въпроси от настоящата документация ще се прилагат разпоредбите на Закона за обществените поръчки</w:t>
      </w:r>
      <w:r w:rsidR="003E3EAB" w:rsidRPr="004C399F">
        <w:t xml:space="preserve"> и правилника за прилагането му, както</w:t>
      </w:r>
      <w:r w:rsidR="002910D9" w:rsidRPr="004C399F">
        <w:t xml:space="preserve"> и приложимите разпоредби на действащото законодателство в Република България.</w:t>
      </w:r>
    </w:p>
    <w:p w:rsidR="002910D9" w:rsidRPr="004C399F" w:rsidRDefault="002910D9" w:rsidP="00676375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pacing w:before="240" w:after="120"/>
        <w:jc w:val="both"/>
        <w:rPr>
          <w:rFonts w:ascii="Arial Narrow" w:hAnsi="Arial Narrow"/>
          <w:b/>
          <w:sz w:val="20"/>
          <w:szCs w:val="20"/>
        </w:rPr>
      </w:pPr>
      <w:r w:rsidRPr="004C399F">
        <w:rPr>
          <w:rFonts w:ascii="Arial Narrow" w:hAnsi="Arial Narrow"/>
          <w:b/>
          <w:sz w:val="20"/>
          <w:szCs w:val="20"/>
        </w:rPr>
        <w:lastRenderedPageBreak/>
        <w:t>Списък с полезни връзки към публични регистри и компетентни органи, съгласно действащото законодателството в Република България:</w:t>
      </w:r>
    </w:p>
    <w:p w:rsidR="002910D9" w:rsidRPr="004C399F" w:rsidRDefault="002910D9" w:rsidP="0026221C">
      <w:pPr>
        <w:spacing w:before="120"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Търговски регистър към Агенция по вписванията (ТР) - </w:t>
      </w:r>
      <w:hyperlink r:id="rId15" w:history="1">
        <w:r w:rsidRPr="004C399F">
          <w:rPr>
            <w:rStyle w:val="af4"/>
            <w:rFonts w:ascii="Arial Narrow" w:hAnsi="Arial Narrow"/>
            <w:sz w:val="20"/>
            <w:szCs w:val="20"/>
          </w:rPr>
          <w:t>http://www.brra.bg/</w:t>
        </w:r>
      </w:hyperlink>
    </w:p>
    <w:p w:rsidR="002910D9" w:rsidRPr="004C399F" w:rsidRDefault="002910D9" w:rsidP="0026221C">
      <w:pPr>
        <w:spacing w:before="120"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Национална агенция за приходите (НАП) - </w:t>
      </w:r>
      <w:hyperlink r:id="rId16" w:history="1">
        <w:r w:rsidRPr="004C399F">
          <w:rPr>
            <w:rStyle w:val="af4"/>
            <w:rFonts w:ascii="Arial Narrow" w:hAnsi="Arial Narrow"/>
            <w:sz w:val="20"/>
            <w:szCs w:val="20"/>
          </w:rPr>
          <w:t>www.nap.bg/</w:t>
        </w:r>
      </w:hyperlink>
      <w:r w:rsidRPr="004C399F">
        <w:rPr>
          <w:rFonts w:ascii="Arial Narrow" w:hAnsi="Arial Narrow"/>
          <w:sz w:val="20"/>
          <w:szCs w:val="20"/>
        </w:rPr>
        <w:t xml:space="preserve">  </w:t>
      </w:r>
    </w:p>
    <w:p w:rsidR="002910D9" w:rsidRPr="00F07BD3" w:rsidRDefault="002910D9" w:rsidP="0026221C">
      <w:pPr>
        <w:spacing w:before="120" w:after="120"/>
        <w:ind w:firstLine="567"/>
        <w:jc w:val="both"/>
        <w:rPr>
          <w:rFonts w:ascii="Arial Narrow" w:hAnsi="Arial Narrow"/>
          <w:color w:val="0070C0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Портал за електронни услуги на НАП - </w:t>
      </w:r>
      <w:hyperlink r:id="rId17" w:history="1">
        <w:r w:rsidR="00F07BD3" w:rsidRPr="00632A4D">
          <w:rPr>
            <w:rStyle w:val="af4"/>
            <w:rFonts w:ascii="Arial Narrow" w:hAnsi="Arial Narrow"/>
            <w:sz w:val="20"/>
            <w:szCs w:val="20"/>
          </w:rPr>
          <w:t>https://inetdec.nra.bg/</w:t>
        </w:r>
      </w:hyperlink>
      <w:r w:rsidR="00F07BD3">
        <w:rPr>
          <w:rFonts w:ascii="Arial Narrow" w:hAnsi="Arial Narrow"/>
          <w:sz w:val="20"/>
          <w:szCs w:val="20"/>
        </w:rPr>
        <w:t xml:space="preserve"> </w:t>
      </w:r>
    </w:p>
    <w:p w:rsidR="002910D9" w:rsidRPr="004C399F" w:rsidRDefault="002910D9" w:rsidP="0026221C">
      <w:pPr>
        <w:spacing w:before="120"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Министерство на правосъдието на Република България - </w:t>
      </w:r>
      <w:hyperlink r:id="rId18" w:history="1">
        <w:r w:rsidRPr="004C399F">
          <w:rPr>
            <w:rStyle w:val="af4"/>
            <w:rFonts w:ascii="Arial Narrow" w:hAnsi="Arial Narrow"/>
            <w:sz w:val="20"/>
            <w:szCs w:val="20"/>
          </w:rPr>
          <w:t>http://mjs.bg/</w:t>
        </w:r>
      </w:hyperlink>
    </w:p>
    <w:p w:rsidR="002910D9" w:rsidRPr="004C399F" w:rsidRDefault="002910D9" w:rsidP="0026221C">
      <w:pPr>
        <w:spacing w:before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Публични регистри – проект на Фондация Програма Достъп до Информация - </w:t>
      </w:r>
      <w:hyperlink r:id="rId19" w:history="1">
        <w:r w:rsidRPr="004C399F">
          <w:rPr>
            <w:rStyle w:val="af4"/>
            <w:rFonts w:ascii="Arial Narrow" w:hAnsi="Arial Narrow"/>
            <w:sz w:val="20"/>
            <w:szCs w:val="20"/>
          </w:rPr>
          <w:t>www.publicregisters.info/</w:t>
        </w:r>
      </w:hyperlink>
    </w:p>
    <w:p w:rsidR="002910D9" w:rsidRPr="004C399F" w:rsidRDefault="002910D9" w:rsidP="00676375">
      <w:pPr>
        <w:pBdr>
          <w:top w:val="threeDEngrave" w:sz="6" w:space="1" w:color="auto"/>
          <w:bottom w:val="threeDEmboss" w:sz="6" w:space="1" w:color="auto"/>
        </w:pBdr>
        <w:spacing w:before="120" w:after="120"/>
        <w:jc w:val="both"/>
        <w:rPr>
          <w:rFonts w:ascii="Arial Narrow" w:hAnsi="Arial Narrow"/>
          <w:b/>
          <w:sz w:val="20"/>
          <w:szCs w:val="20"/>
        </w:rPr>
      </w:pPr>
      <w:r w:rsidRPr="004C399F">
        <w:rPr>
          <w:rFonts w:ascii="Arial Narrow" w:hAnsi="Arial Narrow"/>
          <w:b/>
          <w:sz w:val="20"/>
          <w:szCs w:val="20"/>
        </w:rPr>
        <w:t xml:space="preserve">Информация за задълженията, свързани с данъци и осигуровки, опазване на околната среда, закрила на заетостта и условията на труд: </w:t>
      </w:r>
    </w:p>
    <w:p w:rsidR="002910D9" w:rsidRPr="004C399F" w:rsidRDefault="002910D9" w:rsidP="0026221C">
      <w:pPr>
        <w:spacing w:before="120"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Национална агенция по приходите - Информационен телефон на НАП - 0700 18 700; интернет адрес: </w:t>
      </w:r>
      <w:hyperlink r:id="rId20" w:history="1">
        <w:r w:rsidRPr="004C399F">
          <w:rPr>
            <w:rStyle w:val="af4"/>
            <w:rFonts w:ascii="Arial Narrow" w:hAnsi="Arial Narrow"/>
            <w:sz w:val="20"/>
            <w:szCs w:val="20"/>
          </w:rPr>
          <w:t>www.nap.bg</w:t>
        </w:r>
      </w:hyperlink>
      <w:r w:rsidRPr="004C399F">
        <w:rPr>
          <w:rFonts w:ascii="Arial Narrow" w:hAnsi="Arial Narrow"/>
          <w:sz w:val="20"/>
          <w:szCs w:val="20"/>
        </w:rPr>
        <w:t xml:space="preserve"> </w:t>
      </w:r>
    </w:p>
    <w:p w:rsidR="002910D9" w:rsidRPr="004C399F" w:rsidRDefault="002910D9" w:rsidP="0026221C">
      <w:pPr>
        <w:spacing w:before="120"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4C399F">
        <w:rPr>
          <w:rFonts w:ascii="Arial Narrow" w:hAnsi="Arial Narrow"/>
          <w:sz w:val="20"/>
          <w:szCs w:val="20"/>
        </w:rPr>
        <w:t xml:space="preserve">Министерство на околната среда и водите - Информационен център на МОСВ : работи за посетители всеки работен ден от 14 до 17 ч. 1000 София, ул. "Мария Луиза" № 22; Тел: 02/940 6331; Интернет адрес: </w:t>
      </w:r>
      <w:hyperlink r:id="rId21" w:history="1">
        <w:r w:rsidRPr="004C399F">
          <w:rPr>
            <w:rStyle w:val="af4"/>
            <w:rFonts w:ascii="Arial Narrow" w:hAnsi="Arial Narrow"/>
            <w:sz w:val="20"/>
            <w:szCs w:val="20"/>
          </w:rPr>
          <w:t>http://www3.moew.government.bg/</w:t>
        </w:r>
      </w:hyperlink>
    </w:p>
    <w:p w:rsidR="002910D9" w:rsidRPr="004C399F" w:rsidRDefault="002910D9" w:rsidP="0026221C">
      <w:pPr>
        <w:spacing w:before="120" w:after="120"/>
        <w:ind w:firstLine="567"/>
        <w:jc w:val="both"/>
      </w:pPr>
      <w:r w:rsidRPr="004C399F">
        <w:rPr>
          <w:rFonts w:ascii="Arial Narrow" w:hAnsi="Arial Narrow"/>
          <w:sz w:val="20"/>
          <w:szCs w:val="20"/>
        </w:rPr>
        <w:t>Министерство на труда и социалната политика - София 1051, ул. Триадица №</w:t>
      </w:r>
      <w:r w:rsidR="00BB4739" w:rsidRPr="004C399F">
        <w:rPr>
          <w:rFonts w:ascii="Arial Narrow" w:hAnsi="Arial Narrow"/>
          <w:sz w:val="20"/>
          <w:szCs w:val="20"/>
        </w:rPr>
        <w:t xml:space="preserve"> </w:t>
      </w:r>
      <w:r w:rsidRPr="004C399F">
        <w:rPr>
          <w:rFonts w:ascii="Arial Narrow" w:hAnsi="Arial Narrow"/>
          <w:sz w:val="20"/>
          <w:szCs w:val="20"/>
        </w:rPr>
        <w:t>2</w:t>
      </w:r>
      <w:r w:rsidR="00BB4739" w:rsidRPr="004C399F">
        <w:rPr>
          <w:rFonts w:ascii="Arial Narrow" w:hAnsi="Arial Narrow"/>
          <w:sz w:val="20"/>
          <w:szCs w:val="20"/>
        </w:rPr>
        <w:t>;</w:t>
      </w:r>
      <w:r w:rsidR="00BB4739" w:rsidRPr="004C399F">
        <w:rPr>
          <w:rFonts w:ascii="Arial Narrow" w:hAnsi="Arial Narrow"/>
          <w:sz w:val="20"/>
          <w:szCs w:val="20"/>
        </w:rPr>
        <w:tab/>
        <w:t>т</w:t>
      </w:r>
      <w:r w:rsidRPr="004C399F">
        <w:rPr>
          <w:rFonts w:ascii="Arial Narrow" w:hAnsi="Arial Narrow"/>
          <w:sz w:val="20"/>
          <w:szCs w:val="20"/>
        </w:rPr>
        <w:t xml:space="preserve">ел: 8119 443; Интернет адрес: </w:t>
      </w:r>
      <w:hyperlink r:id="rId22" w:history="1">
        <w:r w:rsidRPr="004C399F">
          <w:rPr>
            <w:rStyle w:val="af4"/>
            <w:rFonts w:ascii="Arial Narrow" w:hAnsi="Arial Narrow"/>
            <w:sz w:val="20"/>
            <w:szCs w:val="20"/>
          </w:rPr>
          <w:t>http://www.mlsp.government.bg</w:t>
        </w:r>
      </w:hyperlink>
    </w:p>
    <w:p w:rsidR="00E8192B" w:rsidRDefault="00BB4739" w:rsidP="0026221C">
      <w:pPr>
        <w:spacing w:before="120" w:after="120"/>
        <w:ind w:firstLine="567"/>
        <w:jc w:val="both"/>
        <w:rPr>
          <w:rFonts w:ascii="Arial Narrow" w:hAnsi="Arial Narrow"/>
          <w:b/>
          <w:sz w:val="20"/>
        </w:rPr>
      </w:pPr>
      <w:r w:rsidRPr="004C399F">
        <w:rPr>
          <w:rFonts w:ascii="Arial Narrow" w:hAnsi="Arial Narrow"/>
          <w:sz w:val="20"/>
          <w:szCs w:val="20"/>
        </w:rPr>
        <w:t xml:space="preserve">Изпълнителна агенция "Главна инспекция по труда" – София 1000, бул. "Дондуков" № 3; тел: 0700 17 670; Интернет адрес: </w:t>
      </w:r>
      <w:hyperlink r:id="rId23" w:history="1">
        <w:r w:rsidRPr="004C399F">
          <w:rPr>
            <w:rStyle w:val="af4"/>
            <w:rFonts w:ascii="Arial Narrow" w:hAnsi="Arial Narrow"/>
            <w:sz w:val="20"/>
            <w:szCs w:val="20"/>
          </w:rPr>
          <w:t>http://www.gli.government.bg/index.php</w:t>
        </w:r>
      </w:hyperlink>
      <w:r w:rsidRPr="00A12722">
        <w:rPr>
          <w:rFonts w:ascii="Arial Narrow" w:hAnsi="Arial Narrow"/>
          <w:sz w:val="20"/>
          <w:szCs w:val="20"/>
        </w:rPr>
        <w:t xml:space="preserve"> </w:t>
      </w:r>
      <w:r w:rsidR="00E8192B" w:rsidRPr="00A12722">
        <w:rPr>
          <w:rFonts w:ascii="Arial Narrow" w:hAnsi="Arial Narrow"/>
          <w:b/>
          <w:sz w:val="20"/>
        </w:rPr>
        <w:tab/>
      </w:r>
    </w:p>
    <w:p w:rsidR="007C0BE1" w:rsidRPr="007C0BE1" w:rsidRDefault="007C0BE1" w:rsidP="0026221C">
      <w:pPr>
        <w:spacing w:before="120" w:after="120"/>
        <w:ind w:firstLine="567"/>
        <w:jc w:val="both"/>
        <w:rPr>
          <w:b/>
        </w:rPr>
      </w:pPr>
      <w:r w:rsidRPr="007C0BE1">
        <w:rPr>
          <w:b/>
        </w:rPr>
        <w:t>ПРИЛОЖЕНИЯ:</w:t>
      </w:r>
    </w:p>
    <w:p w:rsidR="007C0BE1" w:rsidRPr="007C0BE1" w:rsidRDefault="007C0BE1" w:rsidP="004B0263">
      <w:pPr>
        <w:pStyle w:val="af5"/>
        <w:numPr>
          <w:ilvl w:val="0"/>
          <w:numId w:val="2"/>
        </w:numPr>
      </w:pPr>
      <w:r w:rsidRPr="007C0BE1">
        <w:t>ТЕХНИЧЕСКА СПЕЦИФИКАЦИЯ</w:t>
      </w:r>
    </w:p>
    <w:p w:rsidR="007C0BE1" w:rsidRPr="007C0BE1" w:rsidRDefault="007C0BE1" w:rsidP="004B0263">
      <w:pPr>
        <w:pStyle w:val="af5"/>
        <w:numPr>
          <w:ilvl w:val="0"/>
          <w:numId w:val="2"/>
        </w:numPr>
      </w:pPr>
      <w:r w:rsidRPr="007C0BE1">
        <w:t>МЕТОДИКА ЗА ОПРЕДЕЛЯНЕ НА КОМПЛЕКСНА ОЦЕНКА</w:t>
      </w:r>
    </w:p>
    <w:p w:rsidR="007C0BE1" w:rsidRPr="007C0BE1" w:rsidRDefault="007C0BE1" w:rsidP="004B0263">
      <w:pPr>
        <w:pStyle w:val="af5"/>
        <w:numPr>
          <w:ilvl w:val="0"/>
          <w:numId w:val="2"/>
        </w:numPr>
      </w:pPr>
      <w:r w:rsidRPr="007C0BE1">
        <w:t>ПРОЕКТ НА ДОГОВОР ЗА СМР</w:t>
      </w:r>
    </w:p>
    <w:p w:rsidR="007C0BE1" w:rsidRPr="007C0BE1" w:rsidRDefault="007C0BE1" w:rsidP="004B0263">
      <w:pPr>
        <w:pStyle w:val="af5"/>
        <w:numPr>
          <w:ilvl w:val="0"/>
          <w:numId w:val="2"/>
        </w:numPr>
      </w:pPr>
      <w:r w:rsidRPr="007C0BE1">
        <w:t>ТЕХНИЧЕСКО ПРЕДЛОЖЕНИЕ – ОБРАЗЕЦ</w:t>
      </w:r>
    </w:p>
    <w:p w:rsidR="007C0BE1" w:rsidRPr="007C0BE1" w:rsidRDefault="007C0BE1" w:rsidP="004B0263">
      <w:pPr>
        <w:pStyle w:val="af5"/>
        <w:numPr>
          <w:ilvl w:val="0"/>
          <w:numId w:val="2"/>
        </w:numPr>
      </w:pPr>
      <w:r w:rsidRPr="007C0BE1">
        <w:t>ЦЕНОВО ПРЕДЛОЖЕНИЕ – ОБРАЗЕЦ</w:t>
      </w:r>
    </w:p>
    <w:p w:rsidR="007C0BE1" w:rsidRDefault="007C0BE1" w:rsidP="004B0263">
      <w:pPr>
        <w:pStyle w:val="af5"/>
        <w:numPr>
          <w:ilvl w:val="0"/>
          <w:numId w:val="2"/>
        </w:numPr>
      </w:pPr>
      <w:r w:rsidRPr="007C0BE1">
        <w:t>ЕЕДОП</w:t>
      </w:r>
    </w:p>
    <w:p w:rsidR="009020F4" w:rsidRDefault="009020F4" w:rsidP="004B0263">
      <w:pPr>
        <w:pStyle w:val="af5"/>
        <w:numPr>
          <w:ilvl w:val="0"/>
          <w:numId w:val="2"/>
        </w:numPr>
      </w:pPr>
      <w:r>
        <w:t>РАБОТЕН ИНВЕСТИЦИОНЕН ПРОЕКТ</w:t>
      </w:r>
    </w:p>
    <w:p w:rsidR="007C0BE1" w:rsidRPr="007C0BE1" w:rsidRDefault="007C0BE1" w:rsidP="007C0BE1">
      <w:pPr>
        <w:pStyle w:val="af5"/>
        <w:ind w:left="927" w:firstLine="0"/>
      </w:pPr>
    </w:p>
    <w:p w:rsidR="008B2A25" w:rsidRPr="00B36879" w:rsidRDefault="008B2A25" w:rsidP="008B2A25">
      <w:pPr>
        <w:pBdr>
          <w:top w:val="single" w:sz="4" w:space="1" w:color="auto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iCs/>
          <w:sz w:val="16"/>
          <w:szCs w:val="20"/>
        </w:rPr>
      </w:pPr>
      <w:r w:rsidRPr="00B36879">
        <w:rPr>
          <w:rFonts w:asciiTheme="minorHAnsi" w:hAnsiTheme="minorHAnsi" w:cstheme="minorHAnsi"/>
          <w:iCs/>
          <w:sz w:val="16"/>
          <w:szCs w:val="20"/>
        </w:rPr>
        <w:t>Този документ е създаден в рамките на проект “Образователна инфраструктура - изграждане и обновяване на училища, детски градини и ясли в град Пловдив“, който се осъществява с финансовата подкрепа на Оперативна програма „Региони в растеж” 2014 – 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</w:t>
      </w:r>
    </w:p>
    <w:p w:rsidR="008B2A25" w:rsidRPr="00A12722" w:rsidRDefault="008B2A25" w:rsidP="0026221C">
      <w:pPr>
        <w:spacing w:before="120" w:after="120"/>
        <w:ind w:firstLine="567"/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</w:p>
    <w:sectPr w:rsidR="008B2A25" w:rsidRPr="00A12722" w:rsidSect="006E1D75">
      <w:headerReference w:type="default" r:id="rId24"/>
      <w:footerReference w:type="default" r:id="rId25"/>
      <w:headerReference w:type="first" r:id="rId26"/>
      <w:pgSz w:w="11906" w:h="16838"/>
      <w:pgMar w:top="1134" w:right="1418" w:bottom="1134" w:left="1418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0C" w:rsidRDefault="00450B0C" w:rsidP="00BD1A58">
      <w:r>
        <w:separator/>
      </w:r>
    </w:p>
  </w:endnote>
  <w:endnote w:type="continuationSeparator" w:id="0">
    <w:p w:rsidR="00450B0C" w:rsidRDefault="00450B0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pa Sans PTT">
    <w:altName w:val="Segoe Script"/>
    <w:charset w:val="CC"/>
    <w:family w:val="swiss"/>
    <w:pitch w:val="variable"/>
    <w:sig w:usb0="A00002E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</w:rPr>
    </w:sdtEndPr>
    <w:sdtContent>
      <w:p w:rsidR="003744F0" w:rsidRPr="00C61626" w:rsidRDefault="003744F0" w:rsidP="006E1D75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jc w:val="center"/>
          <w:rPr>
            <w:rFonts w:ascii="Ropa Sans PTT" w:hAnsi="Ropa Sans PTT" w:cs="Ropa Sans PTT"/>
            <w:i/>
            <w:iCs/>
            <w:color w:val="7F7F7F" w:themeColor="text1" w:themeTint="80"/>
            <w:sz w:val="12"/>
            <w:szCs w:val="20"/>
          </w:rPr>
        </w:pPr>
      </w:p>
      <w:p w:rsidR="00E00097" w:rsidRPr="00E00097" w:rsidRDefault="00E00097" w:rsidP="00E00097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spacing w:before="60" w:after="60"/>
          <w:jc w:val="center"/>
          <w:rPr>
            <w:i/>
            <w:sz w:val="16"/>
            <w:szCs w:val="20"/>
          </w:rPr>
        </w:pPr>
        <w:r w:rsidRPr="00E00097">
          <w:rPr>
            <w:rFonts w:asciiTheme="minorHAnsi" w:hAnsiTheme="minorHAnsi" w:cstheme="minorHAnsi"/>
            <w:b/>
            <w:color w:val="7F7F7F" w:themeColor="text1" w:themeTint="80"/>
            <w:sz w:val="18"/>
            <w:szCs w:val="18"/>
          </w:rPr>
          <w:t>Проект:</w:t>
        </w:r>
        <w:r w:rsidRPr="00E00097">
          <w:rPr>
            <w:rFonts w:asciiTheme="minorHAnsi" w:hAnsiTheme="minorHAnsi" w:cstheme="minorHAnsi"/>
            <w:color w:val="7F7F7F" w:themeColor="text1" w:themeTint="80"/>
            <w:sz w:val="16"/>
            <w:szCs w:val="20"/>
          </w:rPr>
          <w:t xml:space="preserve"> </w:t>
        </w:r>
        <w:r w:rsidRPr="00E00097">
          <w:rPr>
            <w:rFonts w:asciiTheme="minorHAnsi" w:hAnsiTheme="minorHAnsi" w:cstheme="minorHAnsi"/>
            <w:color w:val="7F7F7F" w:themeColor="text1" w:themeTint="80"/>
            <w:sz w:val="18"/>
            <w:szCs w:val="20"/>
          </w:rPr>
          <w:t>„Образователна инфраструктура - изграждане и обновяване на училища, детски градини и ясли в град Пловдив ”</w:t>
        </w:r>
      </w:p>
      <w:p w:rsidR="003744F0" w:rsidRDefault="003744F0" w:rsidP="006E1D75">
        <w:pPr>
          <w:pBdr>
            <w:right w:val="single" w:sz="4" w:space="4" w:color="7F7F7F" w:themeColor="text1" w:themeTint="80"/>
          </w:pBdr>
          <w:tabs>
            <w:tab w:val="right" w:pos="9356"/>
            <w:tab w:val="right" w:pos="10773"/>
          </w:tabs>
          <w:ind w:left="8222" w:right="-286"/>
          <w:rPr>
            <w:rFonts w:ascii="Arial Narrow" w:hAnsi="Arial Narrow"/>
            <w:b/>
            <w:noProof/>
            <w:color w:val="7F7F7F" w:themeColor="text1" w:themeTint="80"/>
          </w:rPr>
        </w:pPr>
        <w:r w:rsidRPr="00C61626">
          <w:tab/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begin"/>
        </w:r>
        <w:r w:rsidRPr="00C61626">
          <w:rPr>
            <w:rFonts w:ascii="Arial Narrow" w:hAnsi="Arial Narrow"/>
            <w:b/>
            <w:color w:val="7F7F7F" w:themeColor="text1" w:themeTint="80"/>
          </w:rPr>
          <w:instrText xml:space="preserve"> PAGE   \* MERGEFORMAT </w:instrText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separate"/>
        </w:r>
        <w:r w:rsidR="009020F4">
          <w:rPr>
            <w:rFonts w:ascii="Arial Narrow" w:hAnsi="Arial Narrow"/>
            <w:b/>
            <w:noProof/>
            <w:color w:val="7F7F7F" w:themeColor="text1" w:themeTint="80"/>
          </w:rPr>
          <w:t>11</w:t>
        </w:r>
        <w:r w:rsidRPr="00C61626">
          <w:rPr>
            <w:rFonts w:ascii="Arial Narrow" w:hAnsi="Arial Narrow"/>
            <w:b/>
            <w:noProof/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0C" w:rsidRDefault="00450B0C" w:rsidP="00BD1A58">
      <w:r>
        <w:separator/>
      </w:r>
    </w:p>
  </w:footnote>
  <w:footnote w:type="continuationSeparator" w:id="0">
    <w:p w:rsidR="00450B0C" w:rsidRDefault="00450B0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97" w:rsidRPr="00E00097" w:rsidRDefault="00E00097" w:rsidP="00E0009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</w:rPr>
    </w:pPr>
    <w:r w:rsidRPr="00E00097">
      <w:rPr>
        <w:noProof/>
      </w:rPr>
      <w:drawing>
        <wp:inline distT="0" distB="0" distL="0" distR="0" wp14:anchorId="7558E7A9" wp14:editId="6EBC42CA">
          <wp:extent cx="1874520" cy="609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0097">
      <w:rPr>
        <w:b/>
      </w:rPr>
      <w:t xml:space="preserve"> </w:t>
    </w:r>
    <w:r w:rsidRPr="00E00097">
      <w:rPr>
        <w:b/>
        <w:lang w:val="en-US"/>
      </w:rPr>
      <w:t xml:space="preserve">              </w:t>
    </w:r>
    <w:r w:rsidRPr="00E00097">
      <w:rPr>
        <w:noProof/>
      </w:rPr>
      <w:drawing>
        <wp:inline distT="0" distB="0" distL="0" distR="0" wp14:anchorId="475B3E16" wp14:editId="1269B1D4">
          <wp:extent cx="866775" cy="575945"/>
          <wp:effectExtent l="0" t="0" r="9525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59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E00097">
      <w:rPr>
        <w:b/>
        <w:lang w:val="en-US"/>
      </w:rPr>
      <w:t xml:space="preserve">              </w:t>
    </w:r>
    <w:r w:rsidRPr="00E00097">
      <w:rPr>
        <w:noProof/>
      </w:rPr>
      <w:drawing>
        <wp:inline distT="0" distB="0" distL="0" distR="0" wp14:anchorId="7BD7D1B4" wp14:editId="2194CF5E">
          <wp:extent cx="1876800" cy="612000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0097" w:rsidRPr="00E00097" w:rsidRDefault="00E00097" w:rsidP="00E0009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2"/>
      </w:rPr>
    </w:pPr>
    <w:r w:rsidRPr="00E00097">
      <w:rPr>
        <w:rFonts w:asciiTheme="minorHAnsi" w:hAnsiTheme="minorHAnsi" w:cstheme="minorHAnsi"/>
        <w:b/>
        <w:sz w:val="20"/>
      </w:rPr>
      <w:t>ОБЩИНА ПЛОВДИВ</w:t>
    </w:r>
  </w:p>
  <w:p w:rsidR="00E00097" w:rsidRPr="00E00097" w:rsidRDefault="00E00097" w:rsidP="00E00097">
    <w:pPr>
      <w:spacing w:before="60" w:after="60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F0" w:rsidRDefault="003744F0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0A9"/>
    <w:multiLevelType w:val="hybridMultilevel"/>
    <w:tmpl w:val="56C66760"/>
    <w:lvl w:ilvl="0" w:tplc="EF8699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F06265"/>
    <w:multiLevelType w:val="hybridMultilevel"/>
    <w:tmpl w:val="F3940162"/>
    <w:lvl w:ilvl="0" w:tplc="B8680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0613"/>
    <w:rsid w:val="0000553A"/>
    <w:rsid w:val="00005CFB"/>
    <w:rsid w:val="00007A38"/>
    <w:rsid w:val="00007CD1"/>
    <w:rsid w:val="00013962"/>
    <w:rsid w:val="000139C5"/>
    <w:rsid w:val="000174F6"/>
    <w:rsid w:val="00020197"/>
    <w:rsid w:val="00021D04"/>
    <w:rsid w:val="00023131"/>
    <w:rsid w:val="000232E7"/>
    <w:rsid w:val="000269D1"/>
    <w:rsid w:val="00032A46"/>
    <w:rsid w:val="00033448"/>
    <w:rsid w:val="0004150D"/>
    <w:rsid w:val="000427A2"/>
    <w:rsid w:val="0004348B"/>
    <w:rsid w:val="00044057"/>
    <w:rsid w:val="000443C6"/>
    <w:rsid w:val="0004485B"/>
    <w:rsid w:val="00045BCC"/>
    <w:rsid w:val="00055026"/>
    <w:rsid w:val="0005521A"/>
    <w:rsid w:val="000562E0"/>
    <w:rsid w:val="00057D33"/>
    <w:rsid w:val="00057DCE"/>
    <w:rsid w:val="0006015E"/>
    <w:rsid w:val="00060A36"/>
    <w:rsid w:val="00062877"/>
    <w:rsid w:val="0006609C"/>
    <w:rsid w:val="00066A0E"/>
    <w:rsid w:val="000671E5"/>
    <w:rsid w:val="00070E85"/>
    <w:rsid w:val="00071EF8"/>
    <w:rsid w:val="00072561"/>
    <w:rsid w:val="00075052"/>
    <w:rsid w:val="00075A01"/>
    <w:rsid w:val="0008564B"/>
    <w:rsid w:val="000878EB"/>
    <w:rsid w:val="000916F2"/>
    <w:rsid w:val="00091AB4"/>
    <w:rsid w:val="00094180"/>
    <w:rsid w:val="000951AE"/>
    <w:rsid w:val="00096FE9"/>
    <w:rsid w:val="000A085D"/>
    <w:rsid w:val="000A20DF"/>
    <w:rsid w:val="000A449A"/>
    <w:rsid w:val="000B062E"/>
    <w:rsid w:val="000B59FE"/>
    <w:rsid w:val="000B67EB"/>
    <w:rsid w:val="000B7FFE"/>
    <w:rsid w:val="000C1027"/>
    <w:rsid w:val="000C6484"/>
    <w:rsid w:val="000D1305"/>
    <w:rsid w:val="000D273B"/>
    <w:rsid w:val="000D3098"/>
    <w:rsid w:val="000D354C"/>
    <w:rsid w:val="000D35B2"/>
    <w:rsid w:val="000D484D"/>
    <w:rsid w:val="000D5ECD"/>
    <w:rsid w:val="000F0F08"/>
    <w:rsid w:val="000F257C"/>
    <w:rsid w:val="000F4833"/>
    <w:rsid w:val="000F55A8"/>
    <w:rsid w:val="00102B69"/>
    <w:rsid w:val="001049BB"/>
    <w:rsid w:val="00104DA4"/>
    <w:rsid w:val="001069EC"/>
    <w:rsid w:val="00113012"/>
    <w:rsid w:val="00115666"/>
    <w:rsid w:val="001207A3"/>
    <w:rsid w:val="001262AB"/>
    <w:rsid w:val="00126417"/>
    <w:rsid w:val="001306F2"/>
    <w:rsid w:val="001374C5"/>
    <w:rsid w:val="001402F5"/>
    <w:rsid w:val="0014678C"/>
    <w:rsid w:val="00146B8C"/>
    <w:rsid w:val="00151FDB"/>
    <w:rsid w:val="00152083"/>
    <w:rsid w:val="0016025B"/>
    <w:rsid w:val="00161E2B"/>
    <w:rsid w:val="0016200E"/>
    <w:rsid w:val="0016566F"/>
    <w:rsid w:val="00165DCB"/>
    <w:rsid w:val="001673B4"/>
    <w:rsid w:val="00171E1E"/>
    <w:rsid w:val="00172332"/>
    <w:rsid w:val="00174846"/>
    <w:rsid w:val="0018166B"/>
    <w:rsid w:val="001820F0"/>
    <w:rsid w:val="00182B15"/>
    <w:rsid w:val="00187510"/>
    <w:rsid w:val="0019111A"/>
    <w:rsid w:val="001911E4"/>
    <w:rsid w:val="001918FE"/>
    <w:rsid w:val="00192198"/>
    <w:rsid w:val="0019585F"/>
    <w:rsid w:val="001962AB"/>
    <w:rsid w:val="001965FA"/>
    <w:rsid w:val="001A0B37"/>
    <w:rsid w:val="001A137C"/>
    <w:rsid w:val="001A3FE2"/>
    <w:rsid w:val="001A5EBE"/>
    <w:rsid w:val="001A6A56"/>
    <w:rsid w:val="001A7F1C"/>
    <w:rsid w:val="001B0ADD"/>
    <w:rsid w:val="001B3DF7"/>
    <w:rsid w:val="001B3E7E"/>
    <w:rsid w:val="001B5495"/>
    <w:rsid w:val="001B5A02"/>
    <w:rsid w:val="001C0361"/>
    <w:rsid w:val="001C2FD8"/>
    <w:rsid w:val="001C6B06"/>
    <w:rsid w:val="001D1A45"/>
    <w:rsid w:val="001D2E84"/>
    <w:rsid w:val="001D375D"/>
    <w:rsid w:val="001D3B4D"/>
    <w:rsid w:val="001D3F62"/>
    <w:rsid w:val="001D5C00"/>
    <w:rsid w:val="001D76B8"/>
    <w:rsid w:val="001E0A5C"/>
    <w:rsid w:val="001E0CE5"/>
    <w:rsid w:val="001E706A"/>
    <w:rsid w:val="001E7403"/>
    <w:rsid w:val="001E7C3E"/>
    <w:rsid w:val="001F0205"/>
    <w:rsid w:val="001F074D"/>
    <w:rsid w:val="001F1E5D"/>
    <w:rsid w:val="001F290B"/>
    <w:rsid w:val="001F65F4"/>
    <w:rsid w:val="00201F57"/>
    <w:rsid w:val="00203F72"/>
    <w:rsid w:val="0020574A"/>
    <w:rsid w:val="0020764F"/>
    <w:rsid w:val="00207674"/>
    <w:rsid w:val="00212064"/>
    <w:rsid w:val="002121B3"/>
    <w:rsid w:val="00220DD9"/>
    <w:rsid w:val="00221F9E"/>
    <w:rsid w:val="00227853"/>
    <w:rsid w:val="00232D93"/>
    <w:rsid w:val="002350B5"/>
    <w:rsid w:val="002365C3"/>
    <w:rsid w:val="00237401"/>
    <w:rsid w:val="002411DA"/>
    <w:rsid w:val="00245903"/>
    <w:rsid w:val="0024603D"/>
    <w:rsid w:val="002469EF"/>
    <w:rsid w:val="00247F34"/>
    <w:rsid w:val="00251241"/>
    <w:rsid w:val="00254112"/>
    <w:rsid w:val="00255777"/>
    <w:rsid w:val="00256BC9"/>
    <w:rsid w:val="0026221C"/>
    <w:rsid w:val="002633CD"/>
    <w:rsid w:val="00277194"/>
    <w:rsid w:val="0028267B"/>
    <w:rsid w:val="00282DF2"/>
    <w:rsid w:val="00283E79"/>
    <w:rsid w:val="00284594"/>
    <w:rsid w:val="0028669E"/>
    <w:rsid w:val="00287E98"/>
    <w:rsid w:val="002910D9"/>
    <w:rsid w:val="002934AB"/>
    <w:rsid w:val="00295C86"/>
    <w:rsid w:val="002A0486"/>
    <w:rsid w:val="002A1484"/>
    <w:rsid w:val="002A1B65"/>
    <w:rsid w:val="002A6138"/>
    <w:rsid w:val="002A666B"/>
    <w:rsid w:val="002B07A1"/>
    <w:rsid w:val="002B4CC1"/>
    <w:rsid w:val="002C2E65"/>
    <w:rsid w:val="002C334C"/>
    <w:rsid w:val="002C6482"/>
    <w:rsid w:val="002D0B55"/>
    <w:rsid w:val="002D1CF3"/>
    <w:rsid w:val="002D2551"/>
    <w:rsid w:val="002D4724"/>
    <w:rsid w:val="002D500E"/>
    <w:rsid w:val="002D5470"/>
    <w:rsid w:val="002D618A"/>
    <w:rsid w:val="002E0EDA"/>
    <w:rsid w:val="002E32F2"/>
    <w:rsid w:val="002E3B4F"/>
    <w:rsid w:val="002E42A7"/>
    <w:rsid w:val="002E455D"/>
    <w:rsid w:val="002F1B7B"/>
    <w:rsid w:val="002F27B0"/>
    <w:rsid w:val="002F4269"/>
    <w:rsid w:val="00300007"/>
    <w:rsid w:val="003007A3"/>
    <w:rsid w:val="00300977"/>
    <w:rsid w:val="003053AF"/>
    <w:rsid w:val="0031106D"/>
    <w:rsid w:val="00311D70"/>
    <w:rsid w:val="003137C0"/>
    <w:rsid w:val="00321C04"/>
    <w:rsid w:val="00324A0D"/>
    <w:rsid w:val="00330CE3"/>
    <w:rsid w:val="0033150A"/>
    <w:rsid w:val="0033756C"/>
    <w:rsid w:val="003417D6"/>
    <w:rsid w:val="00342D56"/>
    <w:rsid w:val="00350366"/>
    <w:rsid w:val="00350AC0"/>
    <w:rsid w:val="003528E3"/>
    <w:rsid w:val="0035621D"/>
    <w:rsid w:val="00357B27"/>
    <w:rsid w:val="00364EFA"/>
    <w:rsid w:val="00371611"/>
    <w:rsid w:val="0037305B"/>
    <w:rsid w:val="003744F0"/>
    <w:rsid w:val="00374686"/>
    <w:rsid w:val="00376128"/>
    <w:rsid w:val="00384A61"/>
    <w:rsid w:val="003869A4"/>
    <w:rsid w:val="003921F6"/>
    <w:rsid w:val="00392B98"/>
    <w:rsid w:val="00392BFE"/>
    <w:rsid w:val="0039482C"/>
    <w:rsid w:val="00394E7B"/>
    <w:rsid w:val="003969D0"/>
    <w:rsid w:val="003974A5"/>
    <w:rsid w:val="003A54B8"/>
    <w:rsid w:val="003B1BAF"/>
    <w:rsid w:val="003B4146"/>
    <w:rsid w:val="003B5F4D"/>
    <w:rsid w:val="003B677D"/>
    <w:rsid w:val="003C1F6F"/>
    <w:rsid w:val="003D0986"/>
    <w:rsid w:val="003D310C"/>
    <w:rsid w:val="003D51DC"/>
    <w:rsid w:val="003D589D"/>
    <w:rsid w:val="003E2134"/>
    <w:rsid w:val="003E3EAB"/>
    <w:rsid w:val="003E62F1"/>
    <w:rsid w:val="003E7379"/>
    <w:rsid w:val="003F1B52"/>
    <w:rsid w:val="003F2241"/>
    <w:rsid w:val="003F4F32"/>
    <w:rsid w:val="003F5E82"/>
    <w:rsid w:val="003F6E81"/>
    <w:rsid w:val="003F79A8"/>
    <w:rsid w:val="003F7EE5"/>
    <w:rsid w:val="00400AB0"/>
    <w:rsid w:val="00403A0C"/>
    <w:rsid w:val="004047D7"/>
    <w:rsid w:val="00411382"/>
    <w:rsid w:val="004114D3"/>
    <w:rsid w:val="00413018"/>
    <w:rsid w:val="00413DBE"/>
    <w:rsid w:val="00414425"/>
    <w:rsid w:val="004216A1"/>
    <w:rsid w:val="00421B46"/>
    <w:rsid w:val="00422007"/>
    <w:rsid w:val="00422214"/>
    <w:rsid w:val="00424301"/>
    <w:rsid w:val="00425043"/>
    <w:rsid w:val="00425ED3"/>
    <w:rsid w:val="00426FC9"/>
    <w:rsid w:val="0043027A"/>
    <w:rsid w:val="00431713"/>
    <w:rsid w:val="0043184F"/>
    <w:rsid w:val="00431FEF"/>
    <w:rsid w:val="00432C40"/>
    <w:rsid w:val="00433A2F"/>
    <w:rsid w:val="00437DBC"/>
    <w:rsid w:val="00444850"/>
    <w:rsid w:val="00445A09"/>
    <w:rsid w:val="00445F79"/>
    <w:rsid w:val="00446365"/>
    <w:rsid w:val="00450B0C"/>
    <w:rsid w:val="00451845"/>
    <w:rsid w:val="00454E60"/>
    <w:rsid w:val="004557A2"/>
    <w:rsid w:val="00456F6D"/>
    <w:rsid w:val="00462F99"/>
    <w:rsid w:val="00466194"/>
    <w:rsid w:val="004662DF"/>
    <w:rsid w:val="00473371"/>
    <w:rsid w:val="00475D36"/>
    <w:rsid w:val="00476D5D"/>
    <w:rsid w:val="00477772"/>
    <w:rsid w:val="0048055C"/>
    <w:rsid w:val="00480EAE"/>
    <w:rsid w:val="004820E7"/>
    <w:rsid w:val="00482706"/>
    <w:rsid w:val="0048272A"/>
    <w:rsid w:val="00485E03"/>
    <w:rsid w:val="00493940"/>
    <w:rsid w:val="00495E24"/>
    <w:rsid w:val="004A62CC"/>
    <w:rsid w:val="004A654E"/>
    <w:rsid w:val="004B0214"/>
    <w:rsid w:val="004B0263"/>
    <w:rsid w:val="004B32AF"/>
    <w:rsid w:val="004B4883"/>
    <w:rsid w:val="004B5339"/>
    <w:rsid w:val="004B571D"/>
    <w:rsid w:val="004C2814"/>
    <w:rsid w:val="004C399F"/>
    <w:rsid w:val="004C50EB"/>
    <w:rsid w:val="004C562C"/>
    <w:rsid w:val="004C5678"/>
    <w:rsid w:val="004C5954"/>
    <w:rsid w:val="004C7665"/>
    <w:rsid w:val="004C7EFC"/>
    <w:rsid w:val="004D080E"/>
    <w:rsid w:val="004D12CA"/>
    <w:rsid w:val="004D2576"/>
    <w:rsid w:val="004D2890"/>
    <w:rsid w:val="004D457D"/>
    <w:rsid w:val="004D5C4D"/>
    <w:rsid w:val="004D66EA"/>
    <w:rsid w:val="004E0A49"/>
    <w:rsid w:val="004E1667"/>
    <w:rsid w:val="004E1D32"/>
    <w:rsid w:val="004E4E42"/>
    <w:rsid w:val="004F548C"/>
    <w:rsid w:val="00500B56"/>
    <w:rsid w:val="00502FD4"/>
    <w:rsid w:val="00504704"/>
    <w:rsid w:val="00510289"/>
    <w:rsid w:val="00510AEC"/>
    <w:rsid w:val="00510D1C"/>
    <w:rsid w:val="00517F44"/>
    <w:rsid w:val="00523A07"/>
    <w:rsid w:val="00523FC6"/>
    <w:rsid w:val="00525360"/>
    <w:rsid w:val="005264B7"/>
    <w:rsid w:val="00526C68"/>
    <w:rsid w:val="00526F10"/>
    <w:rsid w:val="00527043"/>
    <w:rsid w:val="00527F37"/>
    <w:rsid w:val="005353CA"/>
    <w:rsid w:val="005357F9"/>
    <w:rsid w:val="00537399"/>
    <w:rsid w:val="005433FC"/>
    <w:rsid w:val="00544351"/>
    <w:rsid w:val="005474F1"/>
    <w:rsid w:val="00551EA8"/>
    <w:rsid w:val="005546F5"/>
    <w:rsid w:val="00555175"/>
    <w:rsid w:val="005606F4"/>
    <w:rsid w:val="00561863"/>
    <w:rsid w:val="00566777"/>
    <w:rsid w:val="005676BE"/>
    <w:rsid w:val="00571C1F"/>
    <w:rsid w:val="0057219A"/>
    <w:rsid w:val="0058223C"/>
    <w:rsid w:val="0058228A"/>
    <w:rsid w:val="00583A65"/>
    <w:rsid w:val="00584778"/>
    <w:rsid w:val="00584C1B"/>
    <w:rsid w:val="00585462"/>
    <w:rsid w:val="005860B7"/>
    <w:rsid w:val="005873E0"/>
    <w:rsid w:val="00587B86"/>
    <w:rsid w:val="00587FB8"/>
    <w:rsid w:val="005919BA"/>
    <w:rsid w:val="005A1541"/>
    <w:rsid w:val="005A1B76"/>
    <w:rsid w:val="005A28E9"/>
    <w:rsid w:val="005B119B"/>
    <w:rsid w:val="005B28C7"/>
    <w:rsid w:val="005C2CBD"/>
    <w:rsid w:val="005C3415"/>
    <w:rsid w:val="005C45AF"/>
    <w:rsid w:val="005C4E5A"/>
    <w:rsid w:val="005C51CB"/>
    <w:rsid w:val="005D4889"/>
    <w:rsid w:val="005D5ED6"/>
    <w:rsid w:val="005D67DC"/>
    <w:rsid w:val="005D6E5D"/>
    <w:rsid w:val="005E0144"/>
    <w:rsid w:val="005E31E9"/>
    <w:rsid w:val="005E32A2"/>
    <w:rsid w:val="005E4E38"/>
    <w:rsid w:val="005E6003"/>
    <w:rsid w:val="005E68B5"/>
    <w:rsid w:val="005E773C"/>
    <w:rsid w:val="005E7CB0"/>
    <w:rsid w:val="005F4B0A"/>
    <w:rsid w:val="00600750"/>
    <w:rsid w:val="006011E2"/>
    <w:rsid w:val="006116C9"/>
    <w:rsid w:val="006121DC"/>
    <w:rsid w:val="00612F57"/>
    <w:rsid w:val="00614411"/>
    <w:rsid w:val="00614EE0"/>
    <w:rsid w:val="00624C49"/>
    <w:rsid w:val="00625249"/>
    <w:rsid w:val="00626021"/>
    <w:rsid w:val="00626512"/>
    <w:rsid w:val="006265B6"/>
    <w:rsid w:val="00631CAE"/>
    <w:rsid w:val="00634EF3"/>
    <w:rsid w:val="006379FC"/>
    <w:rsid w:val="00637F35"/>
    <w:rsid w:val="00640093"/>
    <w:rsid w:val="006400EA"/>
    <w:rsid w:val="006404F4"/>
    <w:rsid w:val="00641EE6"/>
    <w:rsid w:val="0064430E"/>
    <w:rsid w:val="00644DC9"/>
    <w:rsid w:val="006457D1"/>
    <w:rsid w:val="0064679B"/>
    <w:rsid w:val="00646C05"/>
    <w:rsid w:val="00653ECF"/>
    <w:rsid w:val="0065429F"/>
    <w:rsid w:val="006561FD"/>
    <w:rsid w:val="00657828"/>
    <w:rsid w:val="00661487"/>
    <w:rsid w:val="00661EAC"/>
    <w:rsid w:val="006672A1"/>
    <w:rsid w:val="0067167B"/>
    <w:rsid w:val="00671B1C"/>
    <w:rsid w:val="00671B92"/>
    <w:rsid w:val="006726F0"/>
    <w:rsid w:val="0067336F"/>
    <w:rsid w:val="00676375"/>
    <w:rsid w:val="00676F51"/>
    <w:rsid w:val="00680195"/>
    <w:rsid w:val="00682AF6"/>
    <w:rsid w:val="00683801"/>
    <w:rsid w:val="00683DF3"/>
    <w:rsid w:val="00686914"/>
    <w:rsid w:val="00694ADF"/>
    <w:rsid w:val="0069578B"/>
    <w:rsid w:val="006961B4"/>
    <w:rsid w:val="00697AFD"/>
    <w:rsid w:val="006A0A09"/>
    <w:rsid w:val="006B2081"/>
    <w:rsid w:val="006B4903"/>
    <w:rsid w:val="006B646B"/>
    <w:rsid w:val="006B7A4D"/>
    <w:rsid w:val="006B7D22"/>
    <w:rsid w:val="006C0A01"/>
    <w:rsid w:val="006C23C9"/>
    <w:rsid w:val="006C5215"/>
    <w:rsid w:val="006C5553"/>
    <w:rsid w:val="006D0D9F"/>
    <w:rsid w:val="006D5F7D"/>
    <w:rsid w:val="006E19D4"/>
    <w:rsid w:val="006E1A2D"/>
    <w:rsid w:val="006E1D75"/>
    <w:rsid w:val="006E33CA"/>
    <w:rsid w:val="006E37B8"/>
    <w:rsid w:val="006F25C7"/>
    <w:rsid w:val="006F2A75"/>
    <w:rsid w:val="006F34E7"/>
    <w:rsid w:val="006F6828"/>
    <w:rsid w:val="00701592"/>
    <w:rsid w:val="00702C5C"/>
    <w:rsid w:val="00703108"/>
    <w:rsid w:val="007057E5"/>
    <w:rsid w:val="007068BD"/>
    <w:rsid w:val="00707D50"/>
    <w:rsid w:val="0071044C"/>
    <w:rsid w:val="007109CD"/>
    <w:rsid w:val="00712BB9"/>
    <w:rsid w:val="00720E33"/>
    <w:rsid w:val="0072127C"/>
    <w:rsid w:val="00724D59"/>
    <w:rsid w:val="0072793E"/>
    <w:rsid w:val="007340C8"/>
    <w:rsid w:val="0073668F"/>
    <w:rsid w:val="00737E68"/>
    <w:rsid w:val="00740476"/>
    <w:rsid w:val="00744D81"/>
    <w:rsid w:val="0074507C"/>
    <w:rsid w:val="00747991"/>
    <w:rsid w:val="00750799"/>
    <w:rsid w:val="007530A7"/>
    <w:rsid w:val="007552FD"/>
    <w:rsid w:val="007572C3"/>
    <w:rsid w:val="0075750E"/>
    <w:rsid w:val="00762AE5"/>
    <w:rsid w:val="0076490D"/>
    <w:rsid w:val="007651D7"/>
    <w:rsid w:val="00774D7D"/>
    <w:rsid w:val="00776DA3"/>
    <w:rsid w:val="007773C5"/>
    <w:rsid w:val="00777D92"/>
    <w:rsid w:val="007817CC"/>
    <w:rsid w:val="00782A29"/>
    <w:rsid w:val="00782A4C"/>
    <w:rsid w:val="0078354B"/>
    <w:rsid w:val="007836A1"/>
    <w:rsid w:val="007903F8"/>
    <w:rsid w:val="00792ADD"/>
    <w:rsid w:val="007968B9"/>
    <w:rsid w:val="00797DCF"/>
    <w:rsid w:val="007A0C82"/>
    <w:rsid w:val="007A1524"/>
    <w:rsid w:val="007A1F66"/>
    <w:rsid w:val="007A3AD4"/>
    <w:rsid w:val="007A53FA"/>
    <w:rsid w:val="007B07A0"/>
    <w:rsid w:val="007B2CCD"/>
    <w:rsid w:val="007B40D9"/>
    <w:rsid w:val="007B429B"/>
    <w:rsid w:val="007B7171"/>
    <w:rsid w:val="007C0BE1"/>
    <w:rsid w:val="007C0F38"/>
    <w:rsid w:val="007C14DD"/>
    <w:rsid w:val="007C56AE"/>
    <w:rsid w:val="007D04CB"/>
    <w:rsid w:val="007D0D97"/>
    <w:rsid w:val="007D3A2D"/>
    <w:rsid w:val="007D3C4B"/>
    <w:rsid w:val="007D7836"/>
    <w:rsid w:val="007E2F4F"/>
    <w:rsid w:val="007E3EFE"/>
    <w:rsid w:val="007E3FBE"/>
    <w:rsid w:val="007E430B"/>
    <w:rsid w:val="007E5988"/>
    <w:rsid w:val="007E6A1F"/>
    <w:rsid w:val="007F2750"/>
    <w:rsid w:val="007F6A88"/>
    <w:rsid w:val="008004C3"/>
    <w:rsid w:val="00801FE6"/>
    <w:rsid w:val="00804769"/>
    <w:rsid w:val="00805E6C"/>
    <w:rsid w:val="008065F8"/>
    <w:rsid w:val="0081055F"/>
    <w:rsid w:val="0081153E"/>
    <w:rsid w:val="00811C82"/>
    <w:rsid w:val="008137FC"/>
    <w:rsid w:val="00813AC6"/>
    <w:rsid w:val="00814CC4"/>
    <w:rsid w:val="008157DD"/>
    <w:rsid w:val="00820855"/>
    <w:rsid w:val="00822A86"/>
    <w:rsid w:val="0082348F"/>
    <w:rsid w:val="00823C1D"/>
    <w:rsid w:val="0082456B"/>
    <w:rsid w:val="0082466C"/>
    <w:rsid w:val="00826583"/>
    <w:rsid w:val="00830F82"/>
    <w:rsid w:val="0083333B"/>
    <w:rsid w:val="0083598C"/>
    <w:rsid w:val="008412D8"/>
    <w:rsid w:val="008424A7"/>
    <w:rsid w:val="00842DBA"/>
    <w:rsid w:val="00850A98"/>
    <w:rsid w:val="00851BCF"/>
    <w:rsid w:val="00852D0F"/>
    <w:rsid w:val="008543D1"/>
    <w:rsid w:val="00855772"/>
    <w:rsid w:val="00855F0F"/>
    <w:rsid w:val="00861E12"/>
    <w:rsid w:val="00864CC3"/>
    <w:rsid w:val="00865865"/>
    <w:rsid w:val="008672AE"/>
    <w:rsid w:val="0086773D"/>
    <w:rsid w:val="00875151"/>
    <w:rsid w:val="00875424"/>
    <w:rsid w:val="00876018"/>
    <w:rsid w:val="00883E67"/>
    <w:rsid w:val="0088436E"/>
    <w:rsid w:val="008857E6"/>
    <w:rsid w:val="00890B8F"/>
    <w:rsid w:val="00891B6C"/>
    <w:rsid w:val="00893D8B"/>
    <w:rsid w:val="00894CC1"/>
    <w:rsid w:val="0089755B"/>
    <w:rsid w:val="008A2D5B"/>
    <w:rsid w:val="008A38B0"/>
    <w:rsid w:val="008A3F77"/>
    <w:rsid w:val="008A6080"/>
    <w:rsid w:val="008A610C"/>
    <w:rsid w:val="008A6256"/>
    <w:rsid w:val="008B0CCA"/>
    <w:rsid w:val="008B2A25"/>
    <w:rsid w:val="008B3677"/>
    <w:rsid w:val="008B4F42"/>
    <w:rsid w:val="008B5B81"/>
    <w:rsid w:val="008B771D"/>
    <w:rsid w:val="008C19AE"/>
    <w:rsid w:val="008C28E4"/>
    <w:rsid w:val="008C6CB5"/>
    <w:rsid w:val="008D1BA4"/>
    <w:rsid w:val="008D2074"/>
    <w:rsid w:val="008E0152"/>
    <w:rsid w:val="008E195D"/>
    <w:rsid w:val="008E5151"/>
    <w:rsid w:val="008F0C48"/>
    <w:rsid w:val="008F264D"/>
    <w:rsid w:val="008F278B"/>
    <w:rsid w:val="008F4253"/>
    <w:rsid w:val="008F5B6D"/>
    <w:rsid w:val="009020F4"/>
    <w:rsid w:val="00902FE9"/>
    <w:rsid w:val="00903388"/>
    <w:rsid w:val="009036BF"/>
    <w:rsid w:val="00903CB1"/>
    <w:rsid w:val="009066DA"/>
    <w:rsid w:val="0091050A"/>
    <w:rsid w:val="00914760"/>
    <w:rsid w:val="00915229"/>
    <w:rsid w:val="0091547B"/>
    <w:rsid w:val="009158A5"/>
    <w:rsid w:val="00916D9F"/>
    <w:rsid w:val="00917CA4"/>
    <w:rsid w:val="00921121"/>
    <w:rsid w:val="009218A4"/>
    <w:rsid w:val="00921D10"/>
    <w:rsid w:val="00922DE0"/>
    <w:rsid w:val="00923B2D"/>
    <w:rsid w:val="00925BE4"/>
    <w:rsid w:val="009302BB"/>
    <w:rsid w:val="00930C20"/>
    <w:rsid w:val="00932340"/>
    <w:rsid w:val="00932B12"/>
    <w:rsid w:val="009355F9"/>
    <w:rsid w:val="00936104"/>
    <w:rsid w:val="00940327"/>
    <w:rsid w:val="00941E4F"/>
    <w:rsid w:val="00943B26"/>
    <w:rsid w:val="00951790"/>
    <w:rsid w:val="009568DA"/>
    <w:rsid w:val="00956978"/>
    <w:rsid w:val="00956A5F"/>
    <w:rsid w:val="00965F4F"/>
    <w:rsid w:val="00971C93"/>
    <w:rsid w:val="00973C93"/>
    <w:rsid w:val="009767DE"/>
    <w:rsid w:val="009828F5"/>
    <w:rsid w:val="00984295"/>
    <w:rsid w:val="00984A3C"/>
    <w:rsid w:val="0098653F"/>
    <w:rsid w:val="009908F0"/>
    <w:rsid w:val="0099414F"/>
    <w:rsid w:val="00994347"/>
    <w:rsid w:val="0099553F"/>
    <w:rsid w:val="00996503"/>
    <w:rsid w:val="009971B1"/>
    <w:rsid w:val="009A00C2"/>
    <w:rsid w:val="009A05DD"/>
    <w:rsid w:val="009A0C76"/>
    <w:rsid w:val="009A1A16"/>
    <w:rsid w:val="009A54BB"/>
    <w:rsid w:val="009A7924"/>
    <w:rsid w:val="009B0112"/>
    <w:rsid w:val="009B17C8"/>
    <w:rsid w:val="009B3600"/>
    <w:rsid w:val="009B3AFC"/>
    <w:rsid w:val="009B3EF5"/>
    <w:rsid w:val="009B7840"/>
    <w:rsid w:val="009C06AB"/>
    <w:rsid w:val="009C15AC"/>
    <w:rsid w:val="009D5959"/>
    <w:rsid w:val="009E08C0"/>
    <w:rsid w:val="009E3214"/>
    <w:rsid w:val="009E4403"/>
    <w:rsid w:val="009E6EC3"/>
    <w:rsid w:val="009E74FE"/>
    <w:rsid w:val="009E755A"/>
    <w:rsid w:val="009F418F"/>
    <w:rsid w:val="009F555C"/>
    <w:rsid w:val="00A03B4D"/>
    <w:rsid w:val="00A11090"/>
    <w:rsid w:val="00A12722"/>
    <w:rsid w:val="00A14931"/>
    <w:rsid w:val="00A15790"/>
    <w:rsid w:val="00A178AC"/>
    <w:rsid w:val="00A22203"/>
    <w:rsid w:val="00A25924"/>
    <w:rsid w:val="00A2658C"/>
    <w:rsid w:val="00A31B7B"/>
    <w:rsid w:val="00A32DE0"/>
    <w:rsid w:val="00A33572"/>
    <w:rsid w:val="00A35775"/>
    <w:rsid w:val="00A35B98"/>
    <w:rsid w:val="00A36E43"/>
    <w:rsid w:val="00A401CF"/>
    <w:rsid w:val="00A42F35"/>
    <w:rsid w:val="00A439F6"/>
    <w:rsid w:val="00A4426B"/>
    <w:rsid w:val="00A445A0"/>
    <w:rsid w:val="00A464AE"/>
    <w:rsid w:val="00A4704B"/>
    <w:rsid w:val="00A50366"/>
    <w:rsid w:val="00A5443F"/>
    <w:rsid w:val="00A54790"/>
    <w:rsid w:val="00A61C36"/>
    <w:rsid w:val="00A62D31"/>
    <w:rsid w:val="00A64F8C"/>
    <w:rsid w:val="00A65112"/>
    <w:rsid w:val="00A65921"/>
    <w:rsid w:val="00A66144"/>
    <w:rsid w:val="00A71306"/>
    <w:rsid w:val="00A75106"/>
    <w:rsid w:val="00A755BB"/>
    <w:rsid w:val="00A75B70"/>
    <w:rsid w:val="00A77A1C"/>
    <w:rsid w:val="00A8008D"/>
    <w:rsid w:val="00A9041D"/>
    <w:rsid w:val="00A95775"/>
    <w:rsid w:val="00A979BF"/>
    <w:rsid w:val="00AA1D43"/>
    <w:rsid w:val="00AA4CB7"/>
    <w:rsid w:val="00AA777E"/>
    <w:rsid w:val="00AB1C38"/>
    <w:rsid w:val="00AB2E29"/>
    <w:rsid w:val="00AB6415"/>
    <w:rsid w:val="00AB675F"/>
    <w:rsid w:val="00AB7F22"/>
    <w:rsid w:val="00AC23B5"/>
    <w:rsid w:val="00AC2D99"/>
    <w:rsid w:val="00AC2E66"/>
    <w:rsid w:val="00AC56A0"/>
    <w:rsid w:val="00AC7022"/>
    <w:rsid w:val="00AD160A"/>
    <w:rsid w:val="00AD3450"/>
    <w:rsid w:val="00AD7CBC"/>
    <w:rsid w:val="00AE0B35"/>
    <w:rsid w:val="00AE37B8"/>
    <w:rsid w:val="00AE607F"/>
    <w:rsid w:val="00AF072F"/>
    <w:rsid w:val="00AF452E"/>
    <w:rsid w:val="00AF72EF"/>
    <w:rsid w:val="00B01CA9"/>
    <w:rsid w:val="00B0254C"/>
    <w:rsid w:val="00B0674B"/>
    <w:rsid w:val="00B11A6B"/>
    <w:rsid w:val="00B1664D"/>
    <w:rsid w:val="00B175F2"/>
    <w:rsid w:val="00B22701"/>
    <w:rsid w:val="00B24504"/>
    <w:rsid w:val="00B24754"/>
    <w:rsid w:val="00B273CD"/>
    <w:rsid w:val="00B30868"/>
    <w:rsid w:val="00B32EDB"/>
    <w:rsid w:val="00B3456B"/>
    <w:rsid w:val="00B34B60"/>
    <w:rsid w:val="00B36BBF"/>
    <w:rsid w:val="00B37F73"/>
    <w:rsid w:val="00B43191"/>
    <w:rsid w:val="00B432DF"/>
    <w:rsid w:val="00B44478"/>
    <w:rsid w:val="00B450F6"/>
    <w:rsid w:val="00B45ACA"/>
    <w:rsid w:val="00B46C87"/>
    <w:rsid w:val="00B4731D"/>
    <w:rsid w:val="00B50422"/>
    <w:rsid w:val="00B51BB5"/>
    <w:rsid w:val="00B52135"/>
    <w:rsid w:val="00B5228B"/>
    <w:rsid w:val="00B54F05"/>
    <w:rsid w:val="00B61C2E"/>
    <w:rsid w:val="00B66242"/>
    <w:rsid w:val="00B662A6"/>
    <w:rsid w:val="00B67065"/>
    <w:rsid w:val="00B70517"/>
    <w:rsid w:val="00B70DB5"/>
    <w:rsid w:val="00B73125"/>
    <w:rsid w:val="00B7329E"/>
    <w:rsid w:val="00B77079"/>
    <w:rsid w:val="00B80C90"/>
    <w:rsid w:val="00B82243"/>
    <w:rsid w:val="00B841C2"/>
    <w:rsid w:val="00B85858"/>
    <w:rsid w:val="00B87A7A"/>
    <w:rsid w:val="00B918E4"/>
    <w:rsid w:val="00B91FF3"/>
    <w:rsid w:val="00B96B2E"/>
    <w:rsid w:val="00BA20B2"/>
    <w:rsid w:val="00BA2BA2"/>
    <w:rsid w:val="00BA5D6A"/>
    <w:rsid w:val="00BB4739"/>
    <w:rsid w:val="00BB5510"/>
    <w:rsid w:val="00BC0751"/>
    <w:rsid w:val="00BC192C"/>
    <w:rsid w:val="00BC6743"/>
    <w:rsid w:val="00BC7F45"/>
    <w:rsid w:val="00BD050F"/>
    <w:rsid w:val="00BD109D"/>
    <w:rsid w:val="00BD134E"/>
    <w:rsid w:val="00BD1810"/>
    <w:rsid w:val="00BD1A58"/>
    <w:rsid w:val="00BD3786"/>
    <w:rsid w:val="00BD391D"/>
    <w:rsid w:val="00BE18BF"/>
    <w:rsid w:val="00BE4096"/>
    <w:rsid w:val="00BE4F8E"/>
    <w:rsid w:val="00BF3F6A"/>
    <w:rsid w:val="00BF3FFB"/>
    <w:rsid w:val="00BF77DA"/>
    <w:rsid w:val="00C0000D"/>
    <w:rsid w:val="00C007D7"/>
    <w:rsid w:val="00C0318B"/>
    <w:rsid w:val="00C204D0"/>
    <w:rsid w:val="00C23BBD"/>
    <w:rsid w:val="00C27FD0"/>
    <w:rsid w:val="00C27FF9"/>
    <w:rsid w:val="00C30D49"/>
    <w:rsid w:val="00C32D2D"/>
    <w:rsid w:val="00C34BDB"/>
    <w:rsid w:val="00C35022"/>
    <w:rsid w:val="00C43263"/>
    <w:rsid w:val="00C43A8F"/>
    <w:rsid w:val="00C50D0E"/>
    <w:rsid w:val="00C5228D"/>
    <w:rsid w:val="00C528FF"/>
    <w:rsid w:val="00C6017E"/>
    <w:rsid w:val="00C632B7"/>
    <w:rsid w:val="00C63D18"/>
    <w:rsid w:val="00C66609"/>
    <w:rsid w:val="00C6769C"/>
    <w:rsid w:val="00C7085E"/>
    <w:rsid w:val="00C7265A"/>
    <w:rsid w:val="00C72944"/>
    <w:rsid w:val="00C72CA5"/>
    <w:rsid w:val="00C73E56"/>
    <w:rsid w:val="00C74389"/>
    <w:rsid w:val="00C744D9"/>
    <w:rsid w:val="00C76AB0"/>
    <w:rsid w:val="00C7795E"/>
    <w:rsid w:val="00C81C8C"/>
    <w:rsid w:val="00C838B4"/>
    <w:rsid w:val="00C901CC"/>
    <w:rsid w:val="00C91743"/>
    <w:rsid w:val="00C91D34"/>
    <w:rsid w:val="00C939ED"/>
    <w:rsid w:val="00C93C33"/>
    <w:rsid w:val="00C93FD6"/>
    <w:rsid w:val="00C9474C"/>
    <w:rsid w:val="00CA4E3D"/>
    <w:rsid w:val="00CB02D6"/>
    <w:rsid w:val="00CB2041"/>
    <w:rsid w:val="00CB2C54"/>
    <w:rsid w:val="00CB5D98"/>
    <w:rsid w:val="00CC0D06"/>
    <w:rsid w:val="00CC1076"/>
    <w:rsid w:val="00CC52CC"/>
    <w:rsid w:val="00CC5512"/>
    <w:rsid w:val="00CC6956"/>
    <w:rsid w:val="00CD0277"/>
    <w:rsid w:val="00CD1705"/>
    <w:rsid w:val="00CD2F68"/>
    <w:rsid w:val="00CD4165"/>
    <w:rsid w:val="00CD4940"/>
    <w:rsid w:val="00CD63E0"/>
    <w:rsid w:val="00CD6798"/>
    <w:rsid w:val="00CD6F47"/>
    <w:rsid w:val="00CE15EE"/>
    <w:rsid w:val="00CE2122"/>
    <w:rsid w:val="00CE4EE4"/>
    <w:rsid w:val="00CE6396"/>
    <w:rsid w:val="00CF5388"/>
    <w:rsid w:val="00CF64B2"/>
    <w:rsid w:val="00CF6FA7"/>
    <w:rsid w:val="00CF6FDC"/>
    <w:rsid w:val="00CF77A5"/>
    <w:rsid w:val="00D01210"/>
    <w:rsid w:val="00D10FC4"/>
    <w:rsid w:val="00D1205F"/>
    <w:rsid w:val="00D13F50"/>
    <w:rsid w:val="00D148A6"/>
    <w:rsid w:val="00D179AA"/>
    <w:rsid w:val="00D22A40"/>
    <w:rsid w:val="00D22E84"/>
    <w:rsid w:val="00D32698"/>
    <w:rsid w:val="00D35DC5"/>
    <w:rsid w:val="00D364A3"/>
    <w:rsid w:val="00D439EE"/>
    <w:rsid w:val="00D457CF"/>
    <w:rsid w:val="00D55810"/>
    <w:rsid w:val="00D57F69"/>
    <w:rsid w:val="00D60DD7"/>
    <w:rsid w:val="00D61964"/>
    <w:rsid w:val="00D6470A"/>
    <w:rsid w:val="00D70043"/>
    <w:rsid w:val="00D7063A"/>
    <w:rsid w:val="00D70ECA"/>
    <w:rsid w:val="00D70EFF"/>
    <w:rsid w:val="00D745A6"/>
    <w:rsid w:val="00D7462D"/>
    <w:rsid w:val="00D74D5D"/>
    <w:rsid w:val="00D75D73"/>
    <w:rsid w:val="00D769FA"/>
    <w:rsid w:val="00D80070"/>
    <w:rsid w:val="00D80DE2"/>
    <w:rsid w:val="00D81E54"/>
    <w:rsid w:val="00D83F92"/>
    <w:rsid w:val="00D84DCD"/>
    <w:rsid w:val="00D84F25"/>
    <w:rsid w:val="00D85D57"/>
    <w:rsid w:val="00D90594"/>
    <w:rsid w:val="00D94B04"/>
    <w:rsid w:val="00D9503D"/>
    <w:rsid w:val="00D96C61"/>
    <w:rsid w:val="00D976E9"/>
    <w:rsid w:val="00D97910"/>
    <w:rsid w:val="00DA3D33"/>
    <w:rsid w:val="00DA5FF2"/>
    <w:rsid w:val="00DB427D"/>
    <w:rsid w:val="00DB66B8"/>
    <w:rsid w:val="00DB6E69"/>
    <w:rsid w:val="00DB733B"/>
    <w:rsid w:val="00DB7B81"/>
    <w:rsid w:val="00DC1E98"/>
    <w:rsid w:val="00DC3CA5"/>
    <w:rsid w:val="00DC4D78"/>
    <w:rsid w:val="00DC6182"/>
    <w:rsid w:val="00DC65AD"/>
    <w:rsid w:val="00DD0754"/>
    <w:rsid w:val="00DD0B07"/>
    <w:rsid w:val="00DD3D76"/>
    <w:rsid w:val="00DD47AE"/>
    <w:rsid w:val="00DD485F"/>
    <w:rsid w:val="00DE0D11"/>
    <w:rsid w:val="00DE33FF"/>
    <w:rsid w:val="00DE4E02"/>
    <w:rsid w:val="00DE7476"/>
    <w:rsid w:val="00DF02A9"/>
    <w:rsid w:val="00DF4FA0"/>
    <w:rsid w:val="00E00097"/>
    <w:rsid w:val="00E0075F"/>
    <w:rsid w:val="00E01F86"/>
    <w:rsid w:val="00E03185"/>
    <w:rsid w:val="00E05E67"/>
    <w:rsid w:val="00E06969"/>
    <w:rsid w:val="00E12499"/>
    <w:rsid w:val="00E133AE"/>
    <w:rsid w:val="00E13900"/>
    <w:rsid w:val="00E20758"/>
    <w:rsid w:val="00E232A2"/>
    <w:rsid w:val="00E324A8"/>
    <w:rsid w:val="00E37726"/>
    <w:rsid w:val="00E420FB"/>
    <w:rsid w:val="00E4308F"/>
    <w:rsid w:val="00E449A4"/>
    <w:rsid w:val="00E45DC6"/>
    <w:rsid w:val="00E4600F"/>
    <w:rsid w:val="00E47D36"/>
    <w:rsid w:val="00E57791"/>
    <w:rsid w:val="00E614C4"/>
    <w:rsid w:val="00E624DC"/>
    <w:rsid w:val="00E62CB9"/>
    <w:rsid w:val="00E74161"/>
    <w:rsid w:val="00E762A9"/>
    <w:rsid w:val="00E8192B"/>
    <w:rsid w:val="00E82817"/>
    <w:rsid w:val="00E83DD8"/>
    <w:rsid w:val="00E86D8D"/>
    <w:rsid w:val="00E86EA2"/>
    <w:rsid w:val="00E875FE"/>
    <w:rsid w:val="00E91564"/>
    <w:rsid w:val="00E920F7"/>
    <w:rsid w:val="00E93528"/>
    <w:rsid w:val="00E958DF"/>
    <w:rsid w:val="00E9768B"/>
    <w:rsid w:val="00EA1BEF"/>
    <w:rsid w:val="00EA3DB6"/>
    <w:rsid w:val="00EA3E78"/>
    <w:rsid w:val="00EA7859"/>
    <w:rsid w:val="00EB348F"/>
    <w:rsid w:val="00EB4A1A"/>
    <w:rsid w:val="00EB564C"/>
    <w:rsid w:val="00EB5697"/>
    <w:rsid w:val="00EB776D"/>
    <w:rsid w:val="00EB7EF9"/>
    <w:rsid w:val="00EC3417"/>
    <w:rsid w:val="00EC6130"/>
    <w:rsid w:val="00EC63C9"/>
    <w:rsid w:val="00EC7194"/>
    <w:rsid w:val="00ED0714"/>
    <w:rsid w:val="00ED18FC"/>
    <w:rsid w:val="00ED19E4"/>
    <w:rsid w:val="00ED2364"/>
    <w:rsid w:val="00ED2E4E"/>
    <w:rsid w:val="00ED4707"/>
    <w:rsid w:val="00ED6C5C"/>
    <w:rsid w:val="00ED7BD3"/>
    <w:rsid w:val="00EE5DE9"/>
    <w:rsid w:val="00EE75B2"/>
    <w:rsid w:val="00EF3819"/>
    <w:rsid w:val="00F020CB"/>
    <w:rsid w:val="00F050D5"/>
    <w:rsid w:val="00F066ED"/>
    <w:rsid w:val="00F07BD3"/>
    <w:rsid w:val="00F110F6"/>
    <w:rsid w:val="00F12AC0"/>
    <w:rsid w:val="00F14C63"/>
    <w:rsid w:val="00F14FBA"/>
    <w:rsid w:val="00F23E8B"/>
    <w:rsid w:val="00F2447B"/>
    <w:rsid w:val="00F30ACA"/>
    <w:rsid w:val="00F328EF"/>
    <w:rsid w:val="00F357C7"/>
    <w:rsid w:val="00F42F09"/>
    <w:rsid w:val="00F43A84"/>
    <w:rsid w:val="00F44189"/>
    <w:rsid w:val="00F4784A"/>
    <w:rsid w:val="00F47FEF"/>
    <w:rsid w:val="00F509D1"/>
    <w:rsid w:val="00F519CA"/>
    <w:rsid w:val="00F51A43"/>
    <w:rsid w:val="00F51E04"/>
    <w:rsid w:val="00F5516D"/>
    <w:rsid w:val="00F5731C"/>
    <w:rsid w:val="00F61F32"/>
    <w:rsid w:val="00F64705"/>
    <w:rsid w:val="00F75C43"/>
    <w:rsid w:val="00F80AF2"/>
    <w:rsid w:val="00F80B72"/>
    <w:rsid w:val="00F838F8"/>
    <w:rsid w:val="00F83B65"/>
    <w:rsid w:val="00F83E49"/>
    <w:rsid w:val="00F848B2"/>
    <w:rsid w:val="00F86B3E"/>
    <w:rsid w:val="00F90F34"/>
    <w:rsid w:val="00F91ADC"/>
    <w:rsid w:val="00F91EF6"/>
    <w:rsid w:val="00F94930"/>
    <w:rsid w:val="00F94DDB"/>
    <w:rsid w:val="00F94F79"/>
    <w:rsid w:val="00F96586"/>
    <w:rsid w:val="00F97A9F"/>
    <w:rsid w:val="00FA1ACA"/>
    <w:rsid w:val="00FA23B8"/>
    <w:rsid w:val="00FA33EC"/>
    <w:rsid w:val="00FA3874"/>
    <w:rsid w:val="00FA6235"/>
    <w:rsid w:val="00FA70B6"/>
    <w:rsid w:val="00FB0066"/>
    <w:rsid w:val="00FB22E1"/>
    <w:rsid w:val="00FB295E"/>
    <w:rsid w:val="00FB4CED"/>
    <w:rsid w:val="00FB618E"/>
    <w:rsid w:val="00FB7C08"/>
    <w:rsid w:val="00FC0D80"/>
    <w:rsid w:val="00FC1622"/>
    <w:rsid w:val="00FC2379"/>
    <w:rsid w:val="00FC4184"/>
    <w:rsid w:val="00FC72CD"/>
    <w:rsid w:val="00FD2472"/>
    <w:rsid w:val="00FE3F62"/>
    <w:rsid w:val="00FE40C8"/>
    <w:rsid w:val="00FE6264"/>
    <w:rsid w:val="00FE78E2"/>
    <w:rsid w:val="00FF2BD7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8392A"/>
  <w15:docId w15:val="{7C3051C0-4021-45C3-8C3C-288AF0E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61E12"/>
    <w:pPr>
      <w:pBdr>
        <w:top w:val="single" w:sz="6" w:space="1" w:color="4D4D4D" w:themeColor="accent6"/>
        <w:left w:val="single" w:sz="12" w:space="4" w:color="4D4D4D" w:themeColor="accent6"/>
      </w:pBdr>
      <w:shd w:val="clear" w:color="auto" w:fill="FFFFCC"/>
      <w:spacing w:before="240" w:after="240"/>
      <w:ind w:firstLine="567"/>
      <w:jc w:val="right"/>
      <w:outlineLvl w:val="0"/>
    </w:pPr>
    <w:rPr>
      <w:b/>
      <w:cap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1272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2658C"/>
    <w:pPr>
      <w:keepNext/>
      <w:outlineLvl w:val="2"/>
    </w:pPr>
    <w:rPr>
      <w:rFonts w:ascii="Arial Narrow" w:hAnsi="Arial Narrow"/>
      <w:b/>
      <w:color w:val="000000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4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1CF"/>
    <w:pPr>
      <w:keepNext/>
      <w:ind w:right="-28"/>
      <w:jc w:val="center"/>
      <w:outlineLvl w:val="4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CF"/>
    <w:pPr>
      <w:keepNext/>
      <w:ind w:right="-28"/>
      <w:outlineLvl w:val="7"/>
    </w:pPr>
    <w:rPr>
      <w:rFonts w:ascii="Arial Narrow" w:eastAsiaTheme="minorHAnsi" w:hAnsi="Arial Narrow" w:cstheme="minorBidi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1E12"/>
    <w:rPr>
      <w:rFonts w:ascii="Times New Roman" w:eastAsia="Times New Roman" w:hAnsi="Times New Roman" w:cs="Times New Roman"/>
      <w:b/>
      <w:caps/>
      <w:sz w:val="28"/>
      <w:szCs w:val="28"/>
      <w:shd w:val="clear" w:color="auto" w:fill="FFFFCC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1272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2A0486"/>
    <w:rPr>
      <w:color w:val="919191" w:themeColor="followedHyperlink"/>
      <w:u w:val="single"/>
    </w:rPr>
  </w:style>
  <w:style w:type="paragraph" w:styleId="afb">
    <w:name w:val="endnote text"/>
    <w:basedOn w:val="a"/>
    <w:link w:val="afc"/>
    <w:uiPriority w:val="99"/>
    <w:unhideWhenUsed/>
    <w:rsid w:val="009767DE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rsid w:val="009767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9767DE"/>
    <w:rPr>
      <w:vertAlign w:val="superscript"/>
    </w:rPr>
  </w:style>
  <w:style w:type="table" w:styleId="-3">
    <w:name w:val="Light Shading Accent 3"/>
    <w:basedOn w:val="a1"/>
    <w:uiPriority w:val="60"/>
    <w:rsid w:val="0047777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fe">
    <w:name w:val="Body Text Indent"/>
    <w:basedOn w:val="a"/>
    <w:link w:val="aff"/>
    <w:uiPriority w:val="99"/>
    <w:semiHidden/>
    <w:unhideWhenUsed/>
    <w:rsid w:val="00AB675F"/>
    <w:pPr>
      <w:spacing w:after="120"/>
      <w:ind w:left="283"/>
    </w:pPr>
  </w:style>
  <w:style w:type="character" w:customStyle="1" w:styleId="aff">
    <w:name w:val="Основен текст с отстъп Знак"/>
    <w:basedOn w:val="a0"/>
    <w:link w:val="afe"/>
    <w:uiPriority w:val="99"/>
    <w:semiHidden/>
    <w:rsid w:val="00AB67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unhideWhenUsed/>
    <w:rsid w:val="00096FE9"/>
    <w:pPr>
      <w:spacing w:before="120"/>
      <w:ind w:firstLine="567"/>
      <w:jc w:val="both"/>
    </w:pPr>
  </w:style>
  <w:style w:type="character" w:customStyle="1" w:styleId="25">
    <w:name w:val="Основен текст с отстъп 2 Знак"/>
    <w:basedOn w:val="a0"/>
    <w:link w:val="24"/>
    <w:uiPriority w:val="99"/>
    <w:rsid w:val="00096F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unhideWhenUsed/>
    <w:rsid w:val="001820F0"/>
    <w:pPr>
      <w:spacing w:before="120" w:after="120"/>
      <w:ind w:firstLine="567"/>
      <w:jc w:val="both"/>
    </w:pPr>
    <w:rPr>
      <w:b/>
    </w:rPr>
  </w:style>
  <w:style w:type="character" w:customStyle="1" w:styleId="33">
    <w:name w:val="Основен текст с отстъп 3 Знак"/>
    <w:basedOn w:val="a0"/>
    <w:link w:val="32"/>
    <w:uiPriority w:val="99"/>
    <w:rsid w:val="001820F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91FF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B91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paragraph" w:styleId="34">
    <w:name w:val="Body Text 3"/>
    <w:basedOn w:val="a"/>
    <w:link w:val="35"/>
    <w:uiPriority w:val="99"/>
    <w:unhideWhenUsed/>
    <w:rsid w:val="00823C1D"/>
    <w:pPr>
      <w:jc w:val="both"/>
    </w:pPr>
    <w:rPr>
      <w:b/>
    </w:rPr>
  </w:style>
  <w:style w:type="character" w:customStyle="1" w:styleId="35">
    <w:name w:val="Основен текст 3 Знак"/>
    <w:basedOn w:val="a0"/>
    <w:link w:val="34"/>
    <w:uiPriority w:val="99"/>
    <w:rsid w:val="00823C1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2658C"/>
    <w:rPr>
      <w:rFonts w:ascii="Arial Narrow" w:eastAsia="Times New Roman" w:hAnsi="Arial Narrow" w:cs="Times New Roman"/>
      <w:b/>
      <w:color w:val="000000"/>
      <w:sz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401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80">
    <w:name w:val="Заглавие 8 Знак"/>
    <w:basedOn w:val="a0"/>
    <w:link w:val="8"/>
    <w:uiPriority w:val="9"/>
    <w:rsid w:val="00A401CF"/>
    <w:rPr>
      <w:rFonts w:ascii="Arial Narrow" w:hAnsi="Arial Narrow"/>
      <w:b/>
      <w:sz w:val="20"/>
      <w:szCs w:val="24"/>
    </w:rPr>
  </w:style>
  <w:style w:type="paragraph" w:customStyle="1" w:styleId="13">
    <w:name w:val="Списък на абзаци1"/>
    <w:basedOn w:val="a"/>
    <w:qFormat/>
    <w:rsid w:val="00EB5697"/>
    <w:pPr>
      <w:suppressAutoHyphens/>
      <w:ind w:left="720"/>
      <w:contextualSpacing/>
    </w:pPr>
    <w:rPr>
      <w:noProof/>
      <w:lang w:eastAsia="ar-SA"/>
    </w:rPr>
  </w:style>
  <w:style w:type="paragraph" w:styleId="aff0">
    <w:name w:val="No Spacing"/>
    <w:uiPriority w:val="1"/>
    <w:qFormat/>
    <w:rsid w:val="002E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8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hyperlink" Target="http://rop3-app1.aop.bg:7778/portal/page?_pageid=93,472252&amp;_dad=portal&amp;_schema=PORTAL&amp;l_id=102&amp;range=current" TargetMode="External"/><Relationship Id="rId18" Type="http://schemas.openxmlformats.org/officeDocument/2006/relationships/hyperlink" Target="http://mjs.bg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3.moew.government.b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tools/espd" TargetMode="External"/><Relationship Id="rId17" Type="http://schemas.openxmlformats.org/officeDocument/2006/relationships/hyperlink" Target="https://inetdec.nra.b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p.bg/" TargetMode="External"/><Relationship Id="rId20" Type="http://schemas.openxmlformats.org/officeDocument/2006/relationships/hyperlink" Target="http://www.nap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or_todorov@plovdiv.b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rra.bg/" TargetMode="External"/><Relationship Id="rId23" Type="http://schemas.openxmlformats.org/officeDocument/2006/relationships/hyperlink" Target="http://www.gli.government.bg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op@plovdiv.bg" TargetMode="External"/><Relationship Id="rId19" Type="http://schemas.openxmlformats.org/officeDocument/2006/relationships/hyperlink" Target="http://www.publicregister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.plovdiv.bg" TargetMode="External"/><Relationship Id="rId14" Type="http://schemas.openxmlformats.org/officeDocument/2006/relationships/hyperlink" Target="http://rop3-app1.aop.bg:7778/portal/page?_pageid=93,1660363&amp;_dad=portal&amp;_schema=PORTAL" TargetMode="External"/><Relationship Id="rId22" Type="http://schemas.openxmlformats.org/officeDocument/2006/relationships/hyperlink" Target="http://www.mlsp.government.b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A172-C1BC-4F9F-A897-D559F11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12</Pages>
  <Words>4944</Words>
  <Characters>28182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Natalia Janeva</cp:lastModifiedBy>
  <cp:revision>33</cp:revision>
  <cp:lastPrinted>2018-04-13T05:47:00Z</cp:lastPrinted>
  <dcterms:created xsi:type="dcterms:W3CDTF">2018-03-15T06:36:00Z</dcterms:created>
  <dcterms:modified xsi:type="dcterms:W3CDTF">2018-04-12T05:51:00Z</dcterms:modified>
</cp:coreProperties>
</file>